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健康促进学校评价标准</w:t>
      </w:r>
    </w:p>
    <w:p>
      <w:pPr>
        <w:wordWrap/>
        <w:adjustRightInd/>
        <w:snapToGrid/>
        <w:spacing w:before="0" w:after="0" w:line="560" w:lineRule="exact"/>
        <w:ind w:left="0" w:leftChars="0" w:right="0" w:firstLine="562"/>
        <w:textAlignment w:val="auto"/>
        <w:outlineLvl w:val="9"/>
        <w:rPr>
          <w:rFonts w:ascii="仿宋" w:hAnsi="仿宋" w:eastAsia="仿宋"/>
          <w:b/>
          <w:sz w:val="44"/>
          <w:szCs w:val="44"/>
        </w:rPr>
      </w:pP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前提条件：开设健康教育课、符合无烟学校标准、无集体性食物中毒和安全事故发生。</w:t>
      </w:r>
      <w:bookmarkStart w:id="0" w:name="_GoBack"/>
      <w:bookmarkEnd w:id="0"/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将健康促进学校工作纳入学校重点工作，公开承诺并呼吁全体师生共同参与健康促进学校建设。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color w:val="FFFFFF"/>
          <w:spacing w:val="-8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成立健康促进学校工作领导小组，校长是第一责任人，明确相关职能部门职责。设专人负责，定期接受培训，做好计划和总结。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color w:val="FFFFFF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制定促进师生健康的政策、规章制度和管理措施，包括校内禁烟、饮水和食品安全、健康教育课、体育活动、体检和预防接种、健康帮扶等内容。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学校设立卫生室或保健室，配备专业技术人员或保健教师，定期接受培训。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color w:val="FFFFFF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开设高质量的健康教育课程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保障学生体育锻炼时间和强度，开展健康教育主题活动，提高师生健康素养和身体素质。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为学生提供充足卫生的饮水和合理的营养膳食。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开展健康管理和疾病防控工作，定期组织体检，对传染病、学生常见疾病和多发疾病开展监测和管理。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color w:val="FFFFFF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校园环境符合无烟学校参考标准，教学和生活建筑质量、教室黑板和课桌椅设置符合国家有关标准，有足够使用的卫生厕所和洗手设施。</w:t>
      </w:r>
    </w:p>
    <w:p>
      <w:pPr>
        <w:pStyle w:val="5"/>
        <w:widowControl w:val="0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师生互尊互爱，开展心理健康主题活动，促进学生潜能发展，营造良好的社会人文环境。</w:t>
      </w:r>
    </w:p>
    <w:p>
      <w:pPr>
        <w:pStyle w:val="5"/>
        <w:wordWrap/>
        <w:adjustRightInd/>
        <w:snapToGrid/>
        <w:spacing w:before="0" w:after="0" w:line="560" w:lineRule="exact"/>
        <w:ind w:left="0" w:leftChars="0" w:right="0" w:firstLine="707" w:firstLineChars="221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1587" w:gutter="0"/>
          <w:paperSrc w:first="0" w:other="0"/>
          <w:pgNumType w:fmt="numberInDash" w:start="28"/>
          <w:cols w:space="720" w:num="1"/>
          <w:docGrid w:type="lines" w:linePitch="318"/>
        </w:sect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加强学校与家庭的健康互动，积极争取当地政府对学校健康工作支持。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河曲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县创建健康促进学校现场评分表</w:t>
      </w:r>
    </w:p>
    <w:p>
      <w:pPr>
        <w:shd w:val="solid" w:color="FFFFFF" w:fill="auto"/>
        <w:autoSpaceDN w:val="0"/>
        <w:spacing w:line="320" w:lineRule="exact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县：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 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学校：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时间：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</w:t>
      </w:r>
    </w:p>
    <w:tbl>
      <w:tblPr>
        <w:tblW w:w="1414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260"/>
        <w:gridCol w:w="4607"/>
        <w:gridCol w:w="4464"/>
        <w:gridCol w:w="776"/>
        <w:gridCol w:w="1086"/>
        <w:gridCol w:w="644"/>
      </w:tblGrid>
      <w:tr>
        <w:trPr>
          <w:trHeight w:val="90" w:hRule="atLeast"/>
        </w:trPr>
        <w:tc>
          <w:tcPr>
            <w:tcW w:w="130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一、健康政策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(15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承诺动员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学校公开承诺开展健康促进学校建设，宣传健康促进理念。动员全体师生广泛参加健康促进学校建设，主动促进自身健康。给师生提供参与学校管理的机会，定期听取意见和建议。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校内明显可见健康促进学校承诺或有关标识，得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分；在全校开展动员，得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b w:val="0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b w:val="0"/>
                <w:bCs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组织管理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）成立校长或分管校长为组长的健康促进学校工作领导小组，明确相关职能部门职责，定期召开例会。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校长为组长的领导小组得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分、副校长为组长得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分。领导小组每年召开例会满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b w:val="0"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b w:val="0"/>
                <w:bCs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Bdr>
                <w:top w:val="single" w:color="F8F8F8" w:sz="6" w:space="0"/>
                <w:left w:val="single" w:color="F8F8F8" w:sz="6" w:space="0"/>
                <w:bottom w:val="single" w:color="F8F8F8" w:sz="6" w:space="0"/>
                <w:right w:val="single" w:color="F8F8F8" w:sz="6" w:space="0"/>
              </w:pBd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90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）将健康促进学校工作纳入学校重点工作，所需经费在学校公用经费中列支。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学校年度工作计划体现健康促进学校工作得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分；财务表显示有健康促进学校建设经费得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）有专人负责健康促进学校工作，定期邀请专业机构开展培训，提高建设健康促进学校建设能力。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有专人负责得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分。接受过健康促进学校培训得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）制定健康促进学校工作计划，根据学校特点和学生主要健康问题，选择合适的健康问题作为切入点。整理收集工作记录，完成年度工作总结。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有健康促进学校计划，计划合理、重点突出，得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分。有详细建设过程记录，有年度健康促进学校工作总结得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282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制度建设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学校制定系列促进师生健康的政策、规章制度和管理措施。包括校内禁烟、食品安全、饮水和环境设施、保障学生每天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小时体育活动时间、开设健康教育课和健康教育活动、提高学生健康素养、查验预防接种证、学生安全和突发事件应急预案、困难学生帮扶等。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学校制定促进学生健康的政策，每个政策得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二、学习生活环境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环境卫生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学校环境整洁优美，无卫生死角，无安全隐患。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校园无垃圾堆积，得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使用卫生厕所并保持清洁。新建教学楼每层设厕所。女生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人一蹲位，男生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人一蹲位，有洗手设施。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随机进入一个厕所，数量够用得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分，清洁卫生得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无烟环境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符合无烟学校参考标准。校内无人吸烟，无烟头，无烟草销售和广告，有禁烟标识。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有禁止吸烟标识得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分，学校内无人吸烟得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分，无烟头得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分，无烟草销售和广告得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教室设施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教室人均使用面积小学不低于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1.15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平方米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中学不低于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1.12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平方米；前排课桌前缘与黑板不低于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2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米；桌椅每人一席；教室应配备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盏以上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瓦荧光灯。</w:t>
            </w:r>
          </w:p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前排课桌前缘与黑板距离大于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2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米，得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分。学生一人一桌椅，得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分。教室灯光明亮，得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健康饮食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提供安全、合理的营养膳食，提供充足、安全的饮用水。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提供来源安全的饮食得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分，膳食结构合理得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分。提供充足、安全的饮用水得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学生食堂三证齐全，有洗刷、消毒池等清洗设施，生熟分开。</w:t>
            </w:r>
          </w:p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学校食堂生熟分开得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分，厨房和就餐清洁卫生得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潜能发展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成立不同类型的兴趣小组，开设艺术课程，为学生提供发挥个人潜能的机会，促进学生良好个性的发展。</w:t>
            </w:r>
          </w:p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每成立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个体育和艺术类兴趣班并定期组织活动得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师生互爱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对困难学生提供适当的支持和帮助。如减免学费、捐款、心理支持等。不体罚辱骂学生，学生无打骂、斗殴行为，相互关心、信任和友好</w:t>
            </w:r>
          </w:p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对困难学生有具体的帮扶措施，每项措施得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分。没有学生反映体罚、恶性斗殴事件，得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三、健康服务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卫生室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保健室和人员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寄宿制学校必须设立卫生室，非寄宿制学校可视学校规模设立卫生室或保健室。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寄宿制学校设立卫生室得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分，未设卫生室但有医院医生定点诊疗得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寄宿制学校或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名学生以上的非寄宿制学校应配备卫生专业技术人员，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名学生以下的非寄宿制学校应配备保健教师。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寄宿制学校或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名学生以上的非寄宿制学校，有卫生专业技术人员得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分，无专门人员但有医院医生定点定期来校诊疗得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600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名学生以下的非寄宿制学校有配备保健教师得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卫生专业技术人员和保健教师应定期接受专业培训，为学生提供健康教育、医疗服务和心理辅导。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定期接受培训得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定期为学生提供健康服务得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健康管理和服务</w:t>
            </w:r>
          </w:p>
        </w:tc>
        <w:tc>
          <w:tcPr>
            <w:tcW w:w="4607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建立学生健康管理机制。新生入学建立健康档案。每年组织师生健康体检，将健康评价结果告知学生和家长。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有学生健康档案得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每年组织一次健康体检得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分。体检结果告知学生和家长得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建立突发公共卫生事件、传染病、学生常见病与多发病管理机制。配合有关单位，开展传染病监测和学生常见病综合防治工作。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有突发公共卫生事件应急处理预案得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分；学校卫生数据报送及时得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提醒学生到卫生行政部门指定机构接种常规疫苗和应急疫苗，儿童入学时查验预防接种证和接种记录。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查验疫苗接种卡，得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分。适时提醒学生接种疫苗得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无集体性食物中毒和安全事故发生，无传染病暴发流行。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无集体性食物中毒和安全事故发生，得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分。无传染病暴发流行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积极预防控制营养不良、视力不良、肥胖、龋齿、贫血等学生常见疾病。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8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有预防控制营养不良、视力不良、肥胖、龋齿、贫血等学生常见疾病的具体措施，每项措施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分。学生常见疾病发生率不高于当地平均水平得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四、健康素养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(25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健康教育课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开设高质量的健康教育课程，每学期《体育与健康》等健康教育类课程中有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学时用于健康教育。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设健康教育课程得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现场访谈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采用规范的健康教育教材，教学过程中配合使用有针对性的课件和健康传播材料。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使用规范教材得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分。使用健康传播材料得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授课教师定期接受健康教育技能培训。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教师定期接受培训得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、体育锻炼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体育课课时应达到小学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1-2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年级每周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学时，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3-6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年级和初中每周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课时，高中每周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课时。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课时数符合要求得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体育锻炼时间和运动负荷应达到《中小学生体育锻炼运动负荷卫生标准（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WS/T101-1998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）》要求。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没有体育课当天安排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小时集体体育锻炼得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以上学生达到《国家学生体质健康标准》良好以上等级，并逐年增长。</w:t>
            </w:r>
          </w:p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40%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以上学生达到良好以上等级得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心理健康教育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在《中小学心理健康教育指导纲要》指导下，根据不同年级学生生理、心理发育特点，开展特定主题的心理健康教育活动，提高学生心理健康素养。为有需求的学生提供心理信箱、心理咨询等渠道的心理援助。</w:t>
            </w:r>
          </w:p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每个班级都开展心理健康主题活动，得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次全校范围的主题活动，得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分。有畅通的心理援助渠道得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健康主题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活动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在《中小学健康教育指导纲要》指导下，针对不同年级学生开展特定主题的健康教育活动，提高中小学生在健康行为与生活方式、疾病预防、心理健康、生长发育与青春期保健、安全应急与避险等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方面的知识和技能，提高学生健康素养。</w:t>
            </w:r>
          </w:p>
          <w:p>
            <w:pPr>
              <w:shd w:val="solid" w:color="FFFFFF" w:fill="auto"/>
              <w:autoSpaceDN w:val="0"/>
              <w:spacing w:line="19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每学期每开展一次主题明确、形式新颖、学生参与度高的健康主题活动得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主题活动可包括专题班会、主题讲座、健康咨询、健康知识竞赛、演讲比赛、健康征文、健康绘画等形式。应配合使用健康教育材料。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健康素养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学生掌握一定的健康知识，具备基本的健康素养。学生养成良好的健康行为习惯，注意个人卫生。指甲清洁、饭前便后洗手、读写姿势正确、正确做眼保健操、早晚刷牙、睡眠充足、不吸烟、不饮酒。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195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评估时随机进入一个班级，观察学生衣服整洁、手指清洁、读写姿势规范、眼保健操动作规范等情况，酌情赋分，最低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分。有条件的地区可开展专项健康素养测评。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五、社会互动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(10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)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家校互动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定期召开健康教育主题家长会，为家长开设健康讲座，邀请家长参与学校健康教育活动，宣传健康促进学校理念，与家长保持良好的沟通，与家长共同促进学生健康。</w:t>
            </w:r>
          </w:p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试点期间，每召开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次至少覆盖一个年级的针对家长的健康主题家长会、家长健康讲座、亲子健康活动得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现场访谈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家校互动，开展家庭健康支持。如家庭饮食结构改善、家庭成员行为改善、家庭健身计划等。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家长响应学校号召开展家庭健康支持，酌情赋分，最高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社区健康</w:t>
            </w:r>
          </w:p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支持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争取政府和社区支持，共享体育文化场地、设施等资源。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学校与社区共享体育、文化资源，得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学校周围环境清洁安静，有明显的交通提示。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学校周边环境整洁得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分，有交通提示得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与社区联合开展健康相关活动，每年至少组织学生参加两次社区健康实践。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每学期与社区联合开展有学生参加实践的健康主题活动，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四、建设效果（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26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目标人群评价</w:t>
            </w:r>
          </w:p>
        </w:tc>
        <w:tc>
          <w:tcPr>
            <w:tcW w:w="4607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目标人群对健康促进工作支持、理解、满意</w:t>
            </w:r>
          </w:p>
        </w:tc>
        <w:tc>
          <w:tcPr>
            <w:tcW w:w="446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详见目标人群测评方案。</w:t>
            </w:r>
          </w:p>
        </w:tc>
        <w:tc>
          <w:tcPr>
            <w:tcW w:w="77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快速调查</w:t>
            </w:r>
          </w:p>
        </w:tc>
        <w:tc>
          <w:tcPr>
            <w:tcW w:w="644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567" w:hRule="atLeast"/>
        </w:trPr>
        <w:tc>
          <w:tcPr>
            <w:tcW w:w="1303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合计</w:t>
            </w:r>
          </w:p>
        </w:tc>
        <w:tc>
          <w:tcPr>
            <w:tcW w:w="1260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607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64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76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100</w:t>
            </w:r>
          </w:p>
        </w:tc>
        <w:tc>
          <w:tcPr>
            <w:tcW w:w="1086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4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240" w:lineRule="atLeast"/>
        <w:rPr>
          <w:rFonts w:ascii="微软雅黑" w:hAnsi="微软雅黑" w:eastAsia="微软雅黑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  <w:shd w:val="clear" w:color="auto" w:fill="FFFFFF"/>
        </w:rPr>
        <w:t>说明：现场评估达到</w:t>
      </w:r>
      <w:r>
        <w:rPr>
          <w:rFonts w:ascii="宋体" w:hAnsi="宋体"/>
          <w:color w:val="000000"/>
          <w:szCs w:val="21"/>
          <w:shd w:val="clear" w:color="auto" w:fill="FFFFFF"/>
        </w:rPr>
        <w:t>70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分及以上，认为达到健康促进学校标准。健康促进学校转化得分</w:t>
      </w:r>
      <w:r>
        <w:rPr>
          <w:rFonts w:ascii="宋体" w:hAnsi="宋体"/>
          <w:color w:val="000000"/>
          <w:szCs w:val="21"/>
          <w:shd w:val="clear" w:color="auto" w:fill="FFFFFF"/>
        </w:rPr>
        <w:t>=15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×（现场评估得分</w:t>
      </w:r>
      <w:r>
        <w:rPr>
          <w:rFonts w:ascii="宋体" w:hAnsi="宋体"/>
          <w:color w:val="000000"/>
          <w:szCs w:val="21"/>
          <w:shd w:val="clear" w:color="auto" w:fill="FFFFFF"/>
        </w:rPr>
        <w:t>/100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），纳入健康促进县总评分表。</w:t>
      </w:r>
    </w:p>
    <w:p/>
    <w:sectPr>
      <w:pgSz w:w="16838" w:h="11906" w:orient="landscape"/>
      <w:pgMar w:top="1293" w:right="1440" w:bottom="1800" w:left="1440" w:header="851" w:footer="992" w:gutter="0"/>
      <w:pgNumType w:fmt="numberInDash"/>
      <w:cols w:space="720" w:num="1"/>
      <w:rtlGutter w:val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_x0000_s2049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widowControl w:val="0"/>
                  <w:wordWrap/>
                  <w:adjustRightInd/>
                  <w:snapToGrid w:val="0"/>
                  <w:spacing w:before="0" w:after="0" w:line="240" w:lineRule="auto"/>
                  <w:ind w:left="420" w:leftChars="200" w:right="420" w:rightChars="200" w:firstLine="0" w:firstLineChars="0"/>
                  <w:jc w:val="left"/>
                  <w:textAlignment w:val="auto"/>
                  <w:outlineLvl w:val="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List Paragraph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4076</Words>
  <Characters>4195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2021-02-25T07:39:00Z</dcterms:created>
  <dc:creator>科林</dc:creator>
  <cp:lastModifiedBy>Administrator</cp:lastModifiedBy>
  <cp:lastPrinted>2022-04-21T09:55:00Z</cp:lastPrinted>
  <dcterms:modified xsi:type="dcterms:W3CDTF">2023-06-20T04:07:51Z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68FD80C7954D47A2B42E29C64BD6F285</vt:lpwstr>
  </property>
</Properties>
</file>