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ACAE">
      <w:pPr>
        <w:keepNext w:val="0"/>
        <w:keepLines w:val="0"/>
        <w:pageBreakBefore w:val="0"/>
        <w:widowControl w:val="0"/>
        <w:kinsoku/>
        <w:wordWrap/>
        <w:overflowPunct/>
        <w:topLinePunct w:val="0"/>
        <w:bidi w:val="0"/>
        <w:spacing w:line="560" w:lineRule="exact"/>
        <w:ind w:left="0" w:leftChars="0" w:right="0" w:righ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18211529">
      <w:pPr>
        <w:keepNext w:val="0"/>
        <w:keepLines w:val="0"/>
        <w:pageBreakBefore w:val="0"/>
        <w:widowControl w:val="0"/>
        <w:kinsoku/>
        <w:wordWrap/>
        <w:overflowPunct/>
        <w:topLinePunct w:val="0"/>
        <w:bidi w:val="0"/>
        <w:spacing w:line="560" w:lineRule="exact"/>
        <w:ind w:left="0" w:leftChars="0" w:right="0" w:rightChars="0"/>
        <w:rPr>
          <w:rFonts w:hint="eastAsia"/>
          <w:color w:val="auto"/>
          <w:sz w:val="36"/>
          <w:szCs w:val="36"/>
        </w:rPr>
      </w:pPr>
    </w:p>
    <w:p w14:paraId="64301D83">
      <w:pPr>
        <w:keepNext w:val="0"/>
        <w:keepLines w:val="0"/>
        <w:pageBreakBefore w:val="0"/>
        <w:widowControl w:val="0"/>
        <w:kinsoku/>
        <w:wordWrap/>
        <w:overflowPunct/>
        <w:topLinePunct w:val="0"/>
        <w:bidi w:val="0"/>
        <w:spacing w:line="560" w:lineRule="exact"/>
        <w:ind w:left="0" w:leftChars="0" w:right="0" w:rightChars="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河曲县抗震救灾指挥机构及职责</w:t>
      </w:r>
    </w:p>
    <w:tbl>
      <w:tblPr>
        <w:tblStyle w:val="8"/>
        <w:tblW w:w="13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2436"/>
        <w:gridCol w:w="9467"/>
        <w:gridCol w:w="17"/>
      </w:tblGrid>
      <w:tr w14:paraId="451D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355" w:hRule="atLeast"/>
          <w:tblHeader/>
        </w:trPr>
        <w:tc>
          <w:tcPr>
            <w:tcW w:w="3576" w:type="dxa"/>
            <w:gridSpan w:val="2"/>
            <w:noWrap w:val="0"/>
            <w:tcMar>
              <w:top w:w="15" w:type="dxa"/>
              <w:left w:w="15" w:type="dxa"/>
              <w:right w:w="15" w:type="dxa"/>
            </w:tcMar>
            <w:vAlign w:val="center"/>
          </w:tcPr>
          <w:p w14:paraId="2C32F834">
            <w:pPr>
              <w:widowControl/>
              <w:spacing w:line="500" w:lineRule="exact"/>
              <w:jc w:val="center"/>
              <w:textAlignment w:val="center"/>
              <w:rPr>
                <w:rFonts w:eastAsia="黑体"/>
                <w:color w:val="auto"/>
                <w:kern w:val="0"/>
                <w:sz w:val="28"/>
                <w:szCs w:val="28"/>
                <w:lang w:bidi="ar"/>
              </w:rPr>
            </w:pPr>
            <w:r>
              <w:rPr>
                <w:rFonts w:eastAsia="黑体"/>
                <w:color w:val="auto"/>
                <w:sz w:val="28"/>
                <w:szCs w:val="28"/>
              </w:rPr>
              <w:t>指挥机构</w:t>
            </w:r>
          </w:p>
        </w:tc>
        <w:tc>
          <w:tcPr>
            <w:tcW w:w="9467" w:type="dxa"/>
            <w:vMerge w:val="restart"/>
            <w:noWrap w:val="0"/>
            <w:tcMar>
              <w:top w:w="15" w:type="dxa"/>
              <w:left w:w="15" w:type="dxa"/>
              <w:right w:w="15" w:type="dxa"/>
            </w:tcMar>
            <w:vAlign w:val="center"/>
          </w:tcPr>
          <w:p w14:paraId="5E9DB779">
            <w:pPr>
              <w:widowControl/>
              <w:jc w:val="center"/>
              <w:textAlignment w:val="center"/>
              <w:rPr>
                <w:rFonts w:eastAsia="黑体"/>
                <w:color w:val="auto"/>
                <w:sz w:val="28"/>
                <w:szCs w:val="28"/>
              </w:rPr>
            </w:pPr>
            <w:r>
              <w:rPr>
                <w:rFonts w:eastAsia="黑体"/>
                <w:color w:val="auto"/>
                <w:sz w:val="28"/>
                <w:szCs w:val="28"/>
              </w:rPr>
              <w:t>职  责</w:t>
            </w:r>
          </w:p>
        </w:tc>
      </w:tr>
      <w:tr w14:paraId="7C62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280" w:hRule="atLeast"/>
          <w:tblHeader/>
        </w:trPr>
        <w:tc>
          <w:tcPr>
            <w:tcW w:w="1140" w:type="dxa"/>
            <w:noWrap w:val="0"/>
            <w:tcMar>
              <w:top w:w="15" w:type="dxa"/>
              <w:left w:w="15" w:type="dxa"/>
              <w:right w:w="15" w:type="dxa"/>
            </w:tcMar>
            <w:vAlign w:val="center"/>
          </w:tcPr>
          <w:p w14:paraId="0508BFD8">
            <w:pPr>
              <w:widowControl/>
              <w:spacing w:line="500" w:lineRule="exact"/>
              <w:jc w:val="center"/>
              <w:textAlignment w:val="center"/>
              <w:rPr>
                <w:rFonts w:eastAsia="黑体"/>
                <w:color w:val="auto"/>
                <w:sz w:val="28"/>
                <w:szCs w:val="28"/>
              </w:rPr>
            </w:pPr>
            <w:r>
              <w:rPr>
                <w:rFonts w:eastAsia="黑体"/>
                <w:color w:val="auto"/>
                <w:sz w:val="28"/>
                <w:szCs w:val="28"/>
              </w:rPr>
              <w:t>名称</w:t>
            </w:r>
          </w:p>
        </w:tc>
        <w:tc>
          <w:tcPr>
            <w:tcW w:w="2436" w:type="dxa"/>
            <w:noWrap w:val="0"/>
            <w:tcMar>
              <w:top w:w="15" w:type="dxa"/>
              <w:left w:w="15" w:type="dxa"/>
              <w:right w:w="15" w:type="dxa"/>
            </w:tcMar>
            <w:vAlign w:val="center"/>
          </w:tcPr>
          <w:p w14:paraId="602D4E24">
            <w:pPr>
              <w:widowControl/>
              <w:spacing w:line="500" w:lineRule="exact"/>
              <w:jc w:val="center"/>
              <w:textAlignment w:val="center"/>
              <w:rPr>
                <w:rFonts w:eastAsia="黑体"/>
                <w:color w:val="auto"/>
                <w:kern w:val="0"/>
                <w:sz w:val="28"/>
                <w:szCs w:val="28"/>
                <w:lang w:bidi="ar"/>
              </w:rPr>
            </w:pPr>
            <w:r>
              <w:rPr>
                <w:rFonts w:eastAsia="黑体"/>
                <w:color w:val="auto"/>
                <w:sz w:val="28"/>
                <w:szCs w:val="28"/>
              </w:rPr>
              <w:t>组成</w:t>
            </w:r>
          </w:p>
        </w:tc>
        <w:tc>
          <w:tcPr>
            <w:tcW w:w="9467" w:type="dxa"/>
            <w:vMerge w:val="continue"/>
            <w:noWrap w:val="0"/>
            <w:tcMar>
              <w:top w:w="15" w:type="dxa"/>
              <w:left w:w="15" w:type="dxa"/>
              <w:right w:w="15" w:type="dxa"/>
            </w:tcMar>
            <w:vAlign w:val="center"/>
          </w:tcPr>
          <w:p w14:paraId="43CCCFAB">
            <w:pPr>
              <w:widowControl/>
              <w:ind w:firstLine="560" w:firstLineChars="200"/>
              <w:textAlignment w:val="center"/>
              <w:rPr>
                <w:rFonts w:eastAsia="仿宋_GB2312"/>
                <w:color w:val="auto"/>
                <w:kern w:val="0"/>
                <w:sz w:val="28"/>
                <w:szCs w:val="28"/>
                <w:lang w:bidi="ar"/>
              </w:rPr>
            </w:pPr>
          </w:p>
        </w:tc>
      </w:tr>
      <w:tr w14:paraId="6097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820" w:hRule="atLeast"/>
        </w:trPr>
        <w:tc>
          <w:tcPr>
            <w:tcW w:w="1140" w:type="dxa"/>
            <w:noWrap w:val="0"/>
            <w:tcMar>
              <w:top w:w="15" w:type="dxa"/>
              <w:left w:w="15" w:type="dxa"/>
              <w:right w:w="15" w:type="dxa"/>
            </w:tcMar>
            <w:vAlign w:val="center"/>
          </w:tcPr>
          <w:p w14:paraId="2CD47B78">
            <w:pPr>
              <w:widowControl/>
              <w:spacing w:line="360" w:lineRule="exact"/>
              <w:jc w:val="center"/>
              <w:rPr>
                <w:rFonts w:hint="eastAsia" w:eastAsia="仿宋"/>
                <w:b/>
                <w:bCs/>
                <w:color w:val="auto"/>
                <w:kern w:val="0"/>
                <w:sz w:val="28"/>
                <w:szCs w:val="28"/>
              </w:rPr>
            </w:pPr>
            <w:r>
              <w:rPr>
                <w:rFonts w:hint="eastAsia" w:eastAsia="仿宋"/>
                <w:b/>
                <w:bCs/>
                <w:color w:val="auto"/>
                <w:kern w:val="0"/>
                <w:sz w:val="24"/>
              </w:rPr>
              <w:t>总指挥</w:t>
            </w:r>
          </w:p>
        </w:tc>
        <w:tc>
          <w:tcPr>
            <w:tcW w:w="2436" w:type="dxa"/>
            <w:noWrap w:val="0"/>
            <w:tcMar>
              <w:top w:w="15" w:type="dxa"/>
              <w:left w:w="15" w:type="dxa"/>
              <w:right w:w="15" w:type="dxa"/>
            </w:tcMar>
            <w:vAlign w:val="center"/>
          </w:tcPr>
          <w:p w14:paraId="79CBA30C">
            <w:pPr>
              <w:pStyle w:val="14"/>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县政府</w:t>
            </w:r>
            <w:r>
              <w:rPr>
                <w:rFonts w:ascii="Times New Roman" w:hAnsi="Times New Roman" w:eastAsia="仿宋" w:cs="Times New Roman"/>
                <w:color w:val="auto"/>
                <w:sz w:val="24"/>
                <w:lang w:val="en-US"/>
              </w:rPr>
              <w:t>分管副</w:t>
            </w:r>
            <w:r>
              <w:rPr>
                <w:rFonts w:hint="eastAsia" w:ascii="Times New Roman" w:hAnsi="Times New Roman" w:eastAsia="仿宋" w:cs="Times New Roman"/>
                <w:color w:val="auto"/>
                <w:sz w:val="24"/>
                <w:lang w:val="en-US"/>
              </w:rPr>
              <w:t>县长</w:t>
            </w:r>
          </w:p>
        </w:tc>
        <w:tc>
          <w:tcPr>
            <w:tcW w:w="9467" w:type="dxa"/>
            <w:vMerge w:val="restart"/>
            <w:noWrap w:val="0"/>
            <w:tcMar>
              <w:top w:w="15" w:type="dxa"/>
              <w:left w:w="15" w:type="dxa"/>
              <w:right w:w="15" w:type="dxa"/>
            </w:tcMar>
            <w:vAlign w:val="center"/>
          </w:tcPr>
          <w:p w14:paraId="0455A3B4">
            <w:pPr>
              <w:pStyle w:val="14"/>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left="17" w:right="6" w:firstLine="482"/>
              <w:textAlignment w:val="auto"/>
              <w:rPr>
                <w:rFonts w:ascii="Times New Roman" w:hAnsi="Times New Roman" w:eastAsia="仿宋" w:cs="Times New Roman"/>
                <w:color w:val="auto"/>
                <w:sz w:val="24"/>
                <w:lang w:val="en-US"/>
              </w:rPr>
            </w:pPr>
            <w:r>
              <w:rPr>
                <w:rFonts w:hint="eastAsia" w:ascii="Times New Roman" w:hAnsi="Times New Roman" w:eastAsia="仿宋" w:cs="Times New Roman"/>
                <w:b/>
                <w:bCs/>
                <w:color w:val="auto"/>
                <w:kern w:val="0"/>
                <w:sz w:val="24"/>
              </w:rPr>
              <w:t>县指挥部</w:t>
            </w:r>
            <w:r>
              <w:rPr>
                <w:rFonts w:hint="eastAsia" w:ascii="Times New Roman" w:hAnsi="Times New Roman" w:eastAsia="仿宋" w:cs="Times New Roman"/>
                <w:b/>
                <w:bCs/>
                <w:color w:val="auto"/>
                <w:kern w:val="0"/>
                <w:sz w:val="24"/>
                <w:lang w:eastAsia="zh-CN"/>
              </w:rPr>
              <w:t>主要</w:t>
            </w:r>
            <w:r>
              <w:rPr>
                <w:rFonts w:ascii="Times New Roman" w:hAnsi="Times New Roman" w:eastAsia="仿宋" w:cs="Times New Roman"/>
                <w:b/>
                <w:bCs/>
                <w:color w:val="auto"/>
                <w:kern w:val="0"/>
                <w:sz w:val="24"/>
              </w:rPr>
              <w:t>职责</w:t>
            </w:r>
            <w:r>
              <w:rPr>
                <w:rFonts w:ascii="Times New Roman" w:hAnsi="Times New Roman" w:eastAsia="仿宋_GB2312" w:cs="Times New Roman"/>
                <w:color w:val="auto"/>
                <w:kern w:val="0"/>
                <w:sz w:val="24"/>
              </w:rPr>
              <w:t>：</w:t>
            </w:r>
            <w:r>
              <w:rPr>
                <w:rFonts w:ascii="Times New Roman" w:hAnsi="Times New Roman" w:eastAsia="仿宋" w:cs="Times New Roman"/>
                <w:color w:val="auto"/>
                <w:sz w:val="24"/>
                <w:lang w:val="en-US"/>
              </w:rPr>
              <w:t>贯彻落实党中央国务院</w:t>
            </w:r>
            <w:r>
              <w:rPr>
                <w:rFonts w:hint="eastAsia" w:ascii="Times New Roman" w:hAnsi="Times New Roman" w:eastAsia="仿宋" w:cs="Times New Roman"/>
                <w:color w:val="auto"/>
                <w:sz w:val="24"/>
                <w:lang w:val="en-US" w:eastAsia="zh-CN"/>
              </w:rPr>
              <w:t>、</w:t>
            </w:r>
            <w:r>
              <w:rPr>
                <w:rFonts w:ascii="Times New Roman" w:hAnsi="Times New Roman" w:eastAsia="仿宋" w:cs="Times New Roman"/>
                <w:color w:val="auto"/>
                <w:sz w:val="24"/>
                <w:lang w:val="en-US"/>
              </w:rPr>
              <w:t>省委省政府</w:t>
            </w:r>
            <w:r>
              <w:rPr>
                <w:rFonts w:hint="eastAsia" w:ascii="Times New Roman" w:hAnsi="Times New Roman" w:eastAsia="仿宋" w:cs="Times New Roman"/>
                <w:color w:val="auto"/>
                <w:sz w:val="24"/>
                <w:lang w:val="en-US" w:eastAsia="zh-CN"/>
              </w:rPr>
              <w:t>、</w:t>
            </w:r>
            <w:r>
              <w:rPr>
                <w:rFonts w:ascii="Times New Roman" w:hAnsi="Times New Roman" w:eastAsia="仿宋" w:cs="Times New Roman"/>
                <w:color w:val="auto"/>
                <w:sz w:val="24"/>
                <w:lang w:val="en-US"/>
              </w:rPr>
              <w:t>市委市政府</w:t>
            </w:r>
            <w:r>
              <w:rPr>
                <w:rFonts w:hint="eastAsia"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rPr>
              <w:t>县委县政府</w:t>
            </w:r>
            <w:r>
              <w:rPr>
                <w:rFonts w:ascii="Times New Roman" w:hAnsi="Times New Roman" w:eastAsia="仿宋" w:cs="Times New Roman"/>
                <w:color w:val="auto"/>
                <w:sz w:val="24"/>
                <w:lang w:val="en-US"/>
              </w:rPr>
              <w:t>关于防震抗震工作的决策部署，统筹全县防震减灾和抗震救灾工作，制定防震、抗震、救灾总体规划、重要措施、指导协调地震风险防控、监测预警、调查评估和灾后恢复重建工作，组织指挥地震灾害应急处置工作，决定</w:t>
            </w:r>
            <w:r>
              <w:rPr>
                <w:rFonts w:hint="eastAsia" w:ascii="Times New Roman" w:hAnsi="Times New Roman" w:eastAsia="仿宋" w:cs="Times New Roman"/>
                <w:color w:val="auto"/>
                <w:sz w:val="24"/>
                <w:lang w:val="en-US"/>
              </w:rPr>
              <w:t>县级</w:t>
            </w:r>
            <w:r>
              <w:rPr>
                <w:rFonts w:ascii="Times New Roman" w:hAnsi="Times New Roman" w:eastAsia="仿宋" w:cs="Times New Roman"/>
                <w:color w:val="auto"/>
                <w:sz w:val="24"/>
                <w:lang w:val="en-US"/>
              </w:rPr>
              <w:t>层面地震应急响应级别，应急期间组织落实应急响应措施，颁布临时规定，依法实施管理、限制、征用等措施，落实</w:t>
            </w:r>
            <w:r>
              <w:rPr>
                <w:rFonts w:hint="eastAsia" w:ascii="Times New Roman" w:hAnsi="Times New Roman" w:eastAsia="仿宋" w:cs="Times New Roman"/>
                <w:color w:val="auto"/>
                <w:sz w:val="24"/>
                <w:lang w:val="en-US"/>
              </w:rPr>
              <w:t>县委县政府</w:t>
            </w:r>
            <w:r>
              <w:rPr>
                <w:rFonts w:ascii="Times New Roman" w:hAnsi="Times New Roman" w:eastAsia="仿宋" w:cs="Times New Roman"/>
                <w:color w:val="auto"/>
                <w:sz w:val="24"/>
                <w:lang w:val="en-US"/>
              </w:rPr>
              <w:t>及</w:t>
            </w:r>
            <w:r>
              <w:rPr>
                <w:rFonts w:hint="eastAsia" w:ascii="Times New Roman" w:hAnsi="Times New Roman" w:eastAsia="仿宋" w:cs="Times New Roman"/>
                <w:color w:val="auto"/>
                <w:sz w:val="24"/>
                <w:lang w:val="en-US"/>
              </w:rPr>
              <w:t>县应急</w:t>
            </w:r>
            <w:r>
              <w:rPr>
                <w:rFonts w:ascii="Times New Roman" w:hAnsi="Times New Roman" w:eastAsia="仿宋" w:cs="Times New Roman"/>
                <w:color w:val="auto"/>
                <w:sz w:val="24"/>
                <w:lang w:val="en-US"/>
              </w:rPr>
              <w:t>救援总指挥部交办的抗震救灾应急处置的其他重大事项。</w:t>
            </w:r>
          </w:p>
          <w:p w14:paraId="7BA7F04B">
            <w:pPr>
              <w:pStyle w:val="14"/>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left="17" w:right="6" w:firstLine="482"/>
              <w:textAlignment w:val="auto"/>
              <w:rPr>
                <w:rFonts w:ascii="Times New Roman" w:hAnsi="Times New Roman" w:eastAsia="仿宋_GB2312" w:cs="Times New Roman"/>
                <w:bCs/>
                <w:color w:val="auto"/>
                <w:sz w:val="28"/>
                <w:szCs w:val="28"/>
              </w:rPr>
            </w:pPr>
            <w:r>
              <w:rPr>
                <w:rFonts w:hint="eastAsia" w:ascii="Times New Roman" w:hAnsi="Times New Roman" w:eastAsia="仿宋" w:cs="Times New Roman"/>
                <w:b/>
                <w:bCs/>
                <w:color w:val="auto"/>
                <w:kern w:val="0"/>
                <w:sz w:val="24"/>
                <w:lang w:val="en-US"/>
              </w:rPr>
              <w:t>县指挥部</w:t>
            </w:r>
            <w:r>
              <w:rPr>
                <w:rFonts w:ascii="Times New Roman" w:hAnsi="Times New Roman" w:eastAsia="仿宋" w:cs="Times New Roman"/>
                <w:b/>
                <w:bCs/>
                <w:color w:val="auto"/>
                <w:kern w:val="0"/>
                <w:sz w:val="24"/>
                <w:lang w:val="en-US"/>
              </w:rPr>
              <w:t>办公室职责：</w:t>
            </w:r>
            <w:r>
              <w:rPr>
                <w:rFonts w:ascii="Times New Roman" w:hAnsi="Times New Roman" w:eastAsia="仿宋" w:cs="Times New Roman"/>
                <w:color w:val="auto"/>
                <w:kern w:val="0"/>
                <w:sz w:val="24"/>
                <w:lang w:val="en-US"/>
              </w:rPr>
              <w:t>承担</w:t>
            </w:r>
            <w:r>
              <w:rPr>
                <w:rFonts w:hint="eastAsia" w:ascii="Times New Roman" w:hAnsi="Times New Roman" w:eastAsia="仿宋" w:cs="Times New Roman"/>
                <w:color w:val="auto"/>
                <w:kern w:val="0"/>
                <w:sz w:val="24"/>
                <w:lang w:val="en-US" w:eastAsia="zh-CN"/>
              </w:rPr>
              <w:t>县</w:t>
            </w:r>
            <w:r>
              <w:rPr>
                <w:rFonts w:ascii="Times New Roman" w:hAnsi="Times New Roman" w:eastAsia="仿宋" w:cs="Times New Roman"/>
                <w:color w:val="auto"/>
                <w:kern w:val="0"/>
                <w:sz w:val="24"/>
                <w:lang w:val="en-US"/>
              </w:rPr>
              <w:t>抗震救灾指挥部日常工作，制定、修订抗震救灾专项应急预案，开展地震风险防控治理和监测预警工作，组织桌面推演、实兵演练等抗震救灾专项训练，协调各方面力量参加抗震救灾救援行动，协助</w:t>
            </w:r>
            <w:r>
              <w:rPr>
                <w:rFonts w:hint="eastAsia" w:ascii="Times New Roman" w:hAnsi="Times New Roman" w:eastAsia="仿宋" w:cs="Times New Roman"/>
                <w:color w:val="auto"/>
                <w:kern w:val="0"/>
                <w:sz w:val="24"/>
                <w:lang w:val="en-US"/>
              </w:rPr>
              <w:t>县委县政府</w:t>
            </w:r>
            <w:r>
              <w:rPr>
                <w:rFonts w:ascii="Times New Roman" w:hAnsi="Times New Roman" w:eastAsia="仿宋" w:cs="Times New Roman"/>
                <w:color w:val="auto"/>
                <w:kern w:val="0"/>
                <w:sz w:val="24"/>
                <w:lang w:val="en-US"/>
              </w:rPr>
              <w:t>指定的负责同志组织抗震救灾应急处置工作，组织开展调查评估和协调推进恢复重建工作，报告和发布抗震救灾信息，指导各</w:t>
            </w:r>
            <w:r>
              <w:rPr>
                <w:rFonts w:hint="eastAsia" w:ascii="Times New Roman" w:hAnsi="Times New Roman" w:eastAsia="仿宋"/>
                <w:color w:val="auto"/>
                <w:sz w:val="24"/>
              </w:rPr>
              <w:t>乡（镇）</w:t>
            </w:r>
            <w:r>
              <w:rPr>
                <w:rFonts w:ascii="Times New Roman" w:hAnsi="Times New Roman" w:eastAsia="仿宋" w:cs="Times New Roman"/>
                <w:color w:val="auto"/>
                <w:kern w:val="0"/>
                <w:sz w:val="24"/>
                <w:lang w:val="en-US"/>
              </w:rPr>
              <w:t>防震救灾等工作。</w:t>
            </w:r>
          </w:p>
        </w:tc>
      </w:tr>
      <w:tr w14:paraId="62B8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694" w:hRule="atLeast"/>
        </w:trPr>
        <w:tc>
          <w:tcPr>
            <w:tcW w:w="1140" w:type="dxa"/>
            <w:vMerge w:val="restart"/>
            <w:noWrap w:val="0"/>
            <w:tcMar>
              <w:top w:w="15" w:type="dxa"/>
              <w:left w:w="15" w:type="dxa"/>
              <w:right w:w="15" w:type="dxa"/>
            </w:tcMar>
            <w:vAlign w:val="center"/>
          </w:tcPr>
          <w:p w14:paraId="23AFA09A">
            <w:pPr>
              <w:widowControl/>
              <w:spacing w:line="520" w:lineRule="exact"/>
              <w:jc w:val="center"/>
              <w:rPr>
                <w:rFonts w:hint="eastAsia" w:eastAsia="仿宋"/>
                <w:b/>
                <w:bCs/>
                <w:color w:val="auto"/>
                <w:kern w:val="0"/>
                <w:sz w:val="28"/>
                <w:szCs w:val="28"/>
              </w:rPr>
            </w:pPr>
            <w:r>
              <w:rPr>
                <w:rFonts w:eastAsia="仿宋"/>
                <w:b/>
                <w:bCs/>
                <w:color w:val="auto"/>
                <w:kern w:val="0"/>
                <w:sz w:val="24"/>
              </w:rPr>
              <w:t>副</w:t>
            </w:r>
            <w:r>
              <w:rPr>
                <w:rFonts w:hint="eastAsia" w:eastAsia="仿宋"/>
                <w:b/>
                <w:bCs/>
                <w:color w:val="auto"/>
                <w:kern w:val="0"/>
                <w:sz w:val="24"/>
              </w:rPr>
              <w:t>总指挥</w:t>
            </w:r>
          </w:p>
        </w:tc>
        <w:tc>
          <w:tcPr>
            <w:tcW w:w="2436" w:type="dxa"/>
            <w:noWrap w:val="0"/>
            <w:tcMar>
              <w:top w:w="15" w:type="dxa"/>
              <w:left w:w="15" w:type="dxa"/>
              <w:right w:w="15" w:type="dxa"/>
            </w:tcMar>
            <w:vAlign w:val="center"/>
          </w:tcPr>
          <w:p w14:paraId="1C7B9AFB">
            <w:pPr>
              <w:pStyle w:val="14"/>
              <w:spacing w:before="1" w:line="300" w:lineRule="exact"/>
              <w:ind w:right="4"/>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县政府</w:t>
            </w:r>
            <w:r>
              <w:rPr>
                <w:rFonts w:ascii="Times New Roman" w:hAnsi="Times New Roman" w:eastAsia="仿宋" w:cs="Times New Roman"/>
                <w:color w:val="auto"/>
                <w:sz w:val="24"/>
                <w:lang w:val="en-US"/>
              </w:rPr>
              <w:t>办</w:t>
            </w:r>
            <w:r>
              <w:rPr>
                <w:rFonts w:hint="eastAsia" w:ascii="Times New Roman" w:hAnsi="Times New Roman" w:eastAsia="仿宋" w:cs="Times New Roman"/>
                <w:color w:val="auto"/>
                <w:sz w:val="24"/>
                <w:lang w:val="en-US" w:eastAsia="zh-CN"/>
              </w:rPr>
              <w:t>副</w:t>
            </w:r>
            <w:r>
              <w:rPr>
                <w:rFonts w:hint="eastAsia" w:ascii="Times New Roman" w:hAnsi="Times New Roman" w:eastAsia="仿宋" w:cs="Times New Roman"/>
                <w:color w:val="auto"/>
                <w:sz w:val="24"/>
                <w:lang w:val="en-US"/>
              </w:rPr>
              <w:t>主任</w:t>
            </w:r>
          </w:p>
        </w:tc>
        <w:tc>
          <w:tcPr>
            <w:tcW w:w="9467" w:type="dxa"/>
            <w:vMerge w:val="continue"/>
            <w:noWrap w:val="0"/>
            <w:tcMar>
              <w:top w:w="15" w:type="dxa"/>
              <w:left w:w="15" w:type="dxa"/>
              <w:right w:w="15" w:type="dxa"/>
            </w:tcMar>
            <w:vAlign w:val="center"/>
          </w:tcPr>
          <w:p w14:paraId="02E4AD3B">
            <w:pPr>
              <w:widowControl/>
              <w:ind w:firstLine="560" w:firstLineChars="200"/>
              <w:rPr>
                <w:rFonts w:eastAsia="仿宋_GB2312"/>
                <w:bCs/>
                <w:color w:val="auto"/>
                <w:sz w:val="28"/>
                <w:szCs w:val="28"/>
              </w:rPr>
            </w:pPr>
          </w:p>
        </w:tc>
      </w:tr>
      <w:tr w14:paraId="2433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700" w:hRule="atLeast"/>
        </w:trPr>
        <w:tc>
          <w:tcPr>
            <w:tcW w:w="1140" w:type="dxa"/>
            <w:vMerge w:val="continue"/>
            <w:noWrap w:val="0"/>
            <w:tcMar>
              <w:top w:w="15" w:type="dxa"/>
              <w:left w:w="15" w:type="dxa"/>
              <w:right w:w="15" w:type="dxa"/>
            </w:tcMar>
            <w:vAlign w:val="center"/>
          </w:tcPr>
          <w:p w14:paraId="3FBA52EB">
            <w:pPr>
              <w:widowControl/>
              <w:ind w:firstLine="560" w:firstLineChars="200"/>
              <w:jc w:val="center"/>
              <w:rPr>
                <w:rFonts w:eastAsia="仿宋_GB2312"/>
                <w:color w:val="auto"/>
                <w:kern w:val="0"/>
                <w:sz w:val="28"/>
                <w:szCs w:val="28"/>
              </w:rPr>
            </w:pPr>
          </w:p>
        </w:tc>
        <w:tc>
          <w:tcPr>
            <w:tcW w:w="2436" w:type="dxa"/>
            <w:noWrap w:val="0"/>
            <w:tcMar>
              <w:top w:w="15" w:type="dxa"/>
              <w:left w:w="15" w:type="dxa"/>
              <w:right w:w="15" w:type="dxa"/>
            </w:tcMar>
            <w:vAlign w:val="center"/>
          </w:tcPr>
          <w:p w14:paraId="559F57BE">
            <w:pPr>
              <w:pStyle w:val="14"/>
              <w:spacing w:before="1" w:line="300" w:lineRule="exact"/>
              <w:ind w:right="4"/>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县应急局局长</w:t>
            </w:r>
          </w:p>
        </w:tc>
        <w:tc>
          <w:tcPr>
            <w:tcW w:w="9467" w:type="dxa"/>
            <w:vMerge w:val="continue"/>
            <w:noWrap w:val="0"/>
            <w:tcMar>
              <w:top w:w="15" w:type="dxa"/>
              <w:left w:w="15" w:type="dxa"/>
              <w:right w:w="15" w:type="dxa"/>
            </w:tcMar>
            <w:vAlign w:val="center"/>
          </w:tcPr>
          <w:p w14:paraId="2E780408">
            <w:pPr>
              <w:widowControl/>
              <w:ind w:firstLine="560" w:firstLineChars="200"/>
              <w:rPr>
                <w:rFonts w:eastAsia="仿宋_GB2312"/>
                <w:bCs/>
                <w:color w:val="auto"/>
                <w:sz w:val="28"/>
                <w:szCs w:val="28"/>
              </w:rPr>
            </w:pPr>
          </w:p>
        </w:tc>
      </w:tr>
      <w:tr w14:paraId="7B5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755" w:hRule="atLeast"/>
        </w:trPr>
        <w:tc>
          <w:tcPr>
            <w:tcW w:w="1140" w:type="dxa"/>
            <w:vMerge w:val="continue"/>
            <w:noWrap w:val="0"/>
            <w:tcMar>
              <w:top w:w="15" w:type="dxa"/>
              <w:left w:w="15" w:type="dxa"/>
              <w:right w:w="15" w:type="dxa"/>
            </w:tcMar>
            <w:vAlign w:val="center"/>
          </w:tcPr>
          <w:p w14:paraId="4CDDF745">
            <w:pPr>
              <w:widowControl/>
              <w:ind w:firstLine="560" w:firstLineChars="200"/>
              <w:jc w:val="center"/>
              <w:rPr>
                <w:rFonts w:eastAsia="仿宋_GB2312"/>
                <w:color w:val="auto"/>
                <w:kern w:val="0"/>
                <w:sz w:val="28"/>
                <w:szCs w:val="28"/>
              </w:rPr>
            </w:pPr>
          </w:p>
        </w:tc>
        <w:tc>
          <w:tcPr>
            <w:tcW w:w="2436" w:type="dxa"/>
            <w:noWrap w:val="0"/>
            <w:tcMar>
              <w:top w:w="15" w:type="dxa"/>
              <w:left w:w="15" w:type="dxa"/>
              <w:right w:w="15" w:type="dxa"/>
            </w:tcMar>
            <w:vAlign w:val="center"/>
          </w:tcPr>
          <w:p w14:paraId="6857A856">
            <w:pPr>
              <w:pStyle w:val="14"/>
              <w:spacing w:before="1" w:line="300" w:lineRule="exact"/>
              <w:ind w:right="4"/>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县气象局局长</w:t>
            </w:r>
          </w:p>
        </w:tc>
        <w:tc>
          <w:tcPr>
            <w:tcW w:w="9467" w:type="dxa"/>
            <w:vMerge w:val="continue"/>
            <w:noWrap w:val="0"/>
            <w:tcMar>
              <w:top w:w="15" w:type="dxa"/>
              <w:left w:w="15" w:type="dxa"/>
              <w:right w:w="15" w:type="dxa"/>
            </w:tcMar>
            <w:vAlign w:val="center"/>
          </w:tcPr>
          <w:p w14:paraId="0CB3026A">
            <w:pPr>
              <w:widowControl/>
              <w:ind w:firstLine="560" w:firstLineChars="200"/>
              <w:rPr>
                <w:rFonts w:eastAsia="仿宋_GB2312"/>
                <w:bCs/>
                <w:color w:val="auto"/>
                <w:sz w:val="28"/>
                <w:szCs w:val="28"/>
              </w:rPr>
            </w:pPr>
          </w:p>
        </w:tc>
      </w:tr>
      <w:tr w14:paraId="66C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796" w:hRule="atLeast"/>
        </w:trPr>
        <w:tc>
          <w:tcPr>
            <w:tcW w:w="1140" w:type="dxa"/>
            <w:vMerge w:val="continue"/>
            <w:noWrap w:val="0"/>
            <w:tcMar>
              <w:top w:w="15" w:type="dxa"/>
              <w:left w:w="15" w:type="dxa"/>
              <w:right w:w="15" w:type="dxa"/>
            </w:tcMar>
            <w:vAlign w:val="center"/>
          </w:tcPr>
          <w:p w14:paraId="3095C72D">
            <w:pPr>
              <w:widowControl/>
              <w:ind w:firstLine="560" w:firstLineChars="200"/>
              <w:jc w:val="center"/>
              <w:rPr>
                <w:rFonts w:eastAsia="仿宋_GB2312"/>
                <w:color w:val="auto"/>
                <w:kern w:val="0"/>
                <w:sz w:val="28"/>
                <w:szCs w:val="28"/>
              </w:rPr>
            </w:pPr>
          </w:p>
        </w:tc>
        <w:tc>
          <w:tcPr>
            <w:tcW w:w="2436" w:type="dxa"/>
            <w:noWrap w:val="0"/>
            <w:tcMar>
              <w:top w:w="15" w:type="dxa"/>
              <w:left w:w="15" w:type="dxa"/>
              <w:right w:w="15" w:type="dxa"/>
            </w:tcMar>
            <w:vAlign w:val="center"/>
          </w:tcPr>
          <w:p w14:paraId="0E5579E3">
            <w:pPr>
              <w:pStyle w:val="14"/>
              <w:spacing w:before="1" w:line="300" w:lineRule="exact"/>
              <w:ind w:right="4"/>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县人武部部长</w:t>
            </w:r>
          </w:p>
        </w:tc>
        <w:tc>
          <w:tcPr>
            <w:tcW w:w="9467" w:type="dxa"/>
            <w:vMerge w:val="continue"/>
            <w:noWrap w:val="0"/>
            <w:tcMar>
              <w:top w:w="15" w:type="dxa"/>
              <w:left w:w="15" w:type="dxa"/>
              <w:right w:w="15" w:type="dxa"/>
            </w:tcMar>
            <w:vAlign w:val="center"/>
          </w:tcPr>
          <w:p w14:paraId="7863AB62">
            <w:pPr>
              <w:widowControl/>
              <w:ind w:firstLine="560" w:firstLineChars="200"/>
              <w:rPr>
                <w:rFonts w:eastAsia="仿宋_GB2312"/>
                <w:bCs/>
                <w:color w:val="auto"/>
                <w:sz w:val="28"/>
                <w:szCs w:val="28"/>
              </w:rPr>
            </w:pPr>
          </w:p>
        </w:tc>
      </w:tr>
      <w:tr w14:paraId="35E5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786" w:hRule="atLeast"/>
        </w:trPr>
        <w:tc>
          <w:tcPr>
            <w:tcW w:w="1140" w:type="dxa"/>
            <w:vMerge w:val="continue"/>
            <w:noWrap w:val="0"/>
            <w:tcMar>
              <w:top w:w="15" w:type="dxa"/>
              <w:left w:w="15" w:type="dxa"/>
              <w:right w:w="15" w:type="dxa"/>
            </w:tcMar>
            <w:vAlign w:val="center"/>
          </w:tcPr>
          <w:p w14:paraId="166FF670">
            <w:pPr>
              <w:widowControl/>
              <w:ind w:firstLine="560" w:firstLineChars="200"/>
              <w:jc w:val="center"/>
              <w:rPr>
                <w:rFonts w:eastAsia="仿宋_GB2312"/>
                <w:color w:val="auto"/>
                <w:kern w:val="0"/>
                <w:sz w:val="28"/>
                <w:szCs w:val="28"/>
              </w:rPr>
            </w:pPr>
          </w:p>
        </w:tc>
        <w:tc>
          <w:tcPr>
            <w:tcW w:w="2436" w:type="dxa"/>
            <w:noWrap w:val="0"/>
            <w:tcMar>
              <w:top w:w="15" w:type="dxa"/>
              <w:left w:w="15" w:type="dxa"/>
              <w:right w:w="15" w:type="dxa"/>
            </w:tcMar>
            <w:vAlign w:val="center"/>
          </w:tcPr>
          <w:p w14:paraId="63E8EC3F">
            <w:pPr>
              <w:pStyle w:val="14"/>
              <w:spacing w:line="300" w:lineRule="exact"/>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武警中队队长</w:t>
            </w:r>
          </w:p>
        </w:tc>
        <w:tc>
          <w:tcPr>
            <w:tcW w:w="9467" w:type="dxa"/>
            <w:vMerge w:val="continue"/>
            <w:noWrap w:val="0"/>
            <w:tcMar>
              <w:top w:w="15" w:type="dxa"/>
              <w:left w:w="15" w:type="dxa"/>
              <w:right w:w="15" w:type="dxa"/>
            </w:tcMar>
            <w:vAlign w:val="center"/>
          </w:tcPr>
          <w:p w14:paraId="1B6CA7FC">
            <w:pPr>
              <w:widowControl/>
              <w:ind w:firstLine="560" w:firstLineChars="200"/>
              <w:rPr>
                <w:rFonts w:eastAsia="仿宋_GB2312"/>
                <w:bCs/>
                <w:color w:val="auto"/>
                <w:sz w:val="28"/>
                <w:szCs w:val="28"/>
              </w:rPr>
            </w:pPr>
          </w:p>
        </w:tc>
      </w:tr>
      <w:tr w14:paraId="1C07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731" w:hRule="atLeast"/>
        </w:trPr>
        <w:tc>
          <w:tcPr>
            <w:tcW w:w="1140" w:type="dxa"/>
            <w:vMerge w:val="continue"/>
            <w:noWrap w:val="0"/>
            <w:tcMar>
              <w:top w:w="15" w:type="dxa"/>
              <w:left w:w="15" w:type="dxa"/>
              <w:right w:w="15" w:type="dxa"/>
            </w:tcMar>
            <w:vAlign w:val="center"/>
          </w:tcPr>
          <w:p w14:paraId="6D373CB9">
            <w:pPr>
              <w:widowControl/>
              <w:ind w:firstLine="560" w:firstLineChars="200"/>
              <w:jc w:val="center"/>
              <w:rPr>
                <w:rFonts w:eastAsia="仿宋_GB2312"/>
                <w:color w:val="auto"/>
                <w:kern w:val="0"/>
                <w:sz w:val="28"/>
                <w:szCs w:val="28"/>
              </w:rPr>
            </w:pPr>
          </w:p>
        </w:tc>
        <w:tc>
          <w:tcPr>
            <w:tcW w:w="2436" w:type="dxa"/>
            <w:noWrap w:val="0"/>
            <w:tcMar>
              <w:top w:w="15" w:type="dxa"/>
              <w:left w:w="15" w:type="dxa"/>
              <w:right w:w="15" w:type="dxa"/>
            </w:tcMar>
            <w:vAlign w:val="center"/>
          </w:tcPr>
          <w:p w14:paraId="34AD2E8C">
            <w:pPr>
              <w:pStyle w:val="14"/>
              <w:spacing w:line="300" w:lineRule="exact"/>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消防大队队长</w:t>
            </w:r>
          </w:p>
        </w:tc>
        <w:tc>
          <w:tcPr>
            <w:tcW w:w="9467" w:type="dxa"/>
            <w:vMerge w:val="continue"/>
            <w:noWrap w:val="0"/>
            <w:tcMar>
              <w:top w:w="15" w:type="dxa"/>
              <w:left w:w="15" w:type="dxa"/>
              <w:right w:w="15" w:type="dxa"/>
            </w:tcMar>
            <w:vAlign w:val="center"/>
          </w:tcPr>
          <w:p w14:paraId="77A9B57C">
            <w:pPr>
              <w:widowControl/>
              <w:ind w:firstLine="560" w:firstLineChars="200"/>
              <w:rPr>
                <w:rFonts w:eastAsia="仿宋_GB2312"/>
                <w:bCs/>
                <w:color w:val="auto"/>
                <w:sz w:val="28"/>
                <w:szCs w:val="28"/>
              </w:rPr>
            </w:pPr>
          </w:p>
        </w:tc>
      </w:tr>
      <w:tr w14:paraId="49A9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140" w:type="dxa"/>
            <w:vMerge w:val="restart"/>
            <w:noWrap w:val="0"/>
            <w:tcMar>
              <w:top w:w="15" w:type="dxa"/>
              <w:left w:w="15" w:type="dxa"/>
              <w:right w:w="15" w:type="dxa"/>
            </w:tcMar>
            <w:vAlign w:val="center"/>
          </w:tcPr>
          <w:p w14:paraId="006AD45F">
            <w:pPr>
              <w:spacing w:line="400" w:lineRule="exact"/>
              <w:jc w:val="center"/>
              <w:rPr>
                <w:rFonts w:eastAsia="仿宋"/>
                <w:b/>
                <w:bCs/>
                <w:color w:val="auto"/>
                <w:kern w:val="0"/>
                <w:sz w:val="24"/>
              </w:rPr>
            </w:pPr>
            <w:r>
              <w:rPr>
                <w:rFonts w:eastAsia="仿宋_GB2312"/>
                <w:b/>
                <w:bCs/>
                <w:color w:val="auto"/>
                <w:sz w:val="24"/>
              </w:rPr>
              <w:t>成员单位</w:t>
            </w:r>
          </w:p>
        </w:tc>
        <w:tc>
          <w:tcPr>
            <w:tcW w:w="2436" w:type="dxa"/>
            <w:noWrap w:val="0"/>
            <w:tcMar>
              <w:top w:w="15" w:type="dxa"/>
              <w:left w:w="15" w:type="dxa"/>
              <w:right w:w="15" w:type="dxa"/>
            </w:tcMar>
            <w:vAlign w:val="center"/>
          </w:tcPr>
          <w:p w14:paraId="7C3C817E">
            <w:pPr>
              <w:pStyle w:val="14"/>
              <w:spacing w:line="360" w:lineRule="auto"/>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县委</w:t>
            </w:r>
            <w:r>
              <w:rPr>
                <w:rFonts w:ascii="Times New Roman" w:hAnsi="Times New Roman" w:eastAsia="仿宋" w:cs="Times New Roman"/>
                <w:color w:val="auto"/>
                <w:sz w:val="24"/>
                <w:lang w:val="en-US"/>
              </w:rPr>
              <w:t>宣传部</w:t>
            </w:r>
          </w:p>
        </w:tc>
        <w:tc>
          <w:tcPr>
            <w:tcW w:w="9484" w:type="dxa"/>
            <w:gridSpan w:val="2"/>
            <w:noWrap w:val="0"/>
            <w:tcMar>
              <w:top w:w="15" w:type="dxa"/>
              <w:left w:w="15" w:type="dxa"/>
              <w:right w:w="15" w:type="dxa"/>
            </w:tcMar>
            <w:vAlign w:val="top"/>
          </w:tcPr>
          <w:p w14:paraId="7D80FA99">
            <w:pPr>
              <w:pStyle w:val="14"/>
              <w:keepNext w:val="0"/>
              <w:keepLines w:val="0"/>
              <w:pageBreakBefore w:val="0"/>
              <w:widowControl w:val="0"/>
              <w:kinsoku/>
              <w:wordWrap/>
              <w:overflowPunct/>
              <w:topLinePunct w:val="0"/>
              <w:autoSpaceDE/>
              <w:autoSpaceDN/>
              <w:bidi w:val="0"/>
              <w:adjustRightInd/>
              <w:snapToGrid/>
              <w:spacing w:line="440" w:lineRule="exact"/>
              <w:ind w:left="15" w:right="6" w:firstLine="48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根据</w:t>
            </w:r>
            <w:r>
              <w:rPr>
                <w:rFonts w:hint="eastAsia" w:ascii="Times New Roman" w:hAnsi="Times New Roman" w:eastAsia="仿宋" w:cs="Times New Roman"/>
                <w:color w:val="auto"/>
                <w:sz w:val="24"/>
                <w:lang w:val="en-US"/>
              </w:rPr>
              <w:t>县指挥部</w:t>
            </w:r>
            <w:r>
              <w:rPr>
                <w:rFonts w:ascii="Times New Roman" w:hAnsi="Times New Roman" w:eastAsia="仿宋" w:cs="Times New Roman"/>
                <w:color w:val="auto"/>
                <w:sz w:val="24"/>
                <w:lang w:val="en-US"/>
              </w:rPr>
              <w:t>的统一部署，组织协调新闻媒体开展应急新闻报道，积极引导舆论。</w:t>
            </w:r>
          </w:p>
        </w:tc>
      </w:tr>
      <w:tr w14:paraId="32FC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1140" w:type="dxa"/>
            <w:vMerge w:val="continue"/>
            <w:noWrap w:val="0"/>
            <w:tcMar>
              <w:top w:w="15" w:type="dxa"/>
              <w:left w:w="15" w:type="dxa"/>
              <w:right w:w="15" w:type="dxa"/>
            </w:tcMar>
            <w:vAlign w:val="center"/>
          </w:tcPr>
          <w:p w14:paraId="25EEDF35">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2A28BE5D">
            <w:pPr>
              <w:pStyle w:val="14"/>
              <w:spacing w:line="360" w:lineRule="auto"/>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县委</w:t>
            </w:r>
            <w:r>
              <w:rPr>
                <w:rFonts w:ascii="Times New Roman" w:hAnsi="Times New Roman" w:eastAsia="仿宋" w:cs="Times New Roman"/>
                <w:color w:val="auto"/>
                <w:sz w:val="24"/>
                <w:lang w:val="en-US"/>
              </w:rPr>
              <w:t>网信办</w:t>
            </w:r>
          </w:p>
        </w:tc>
        <w:tc>
          <w:tcPr>
            <w:tcW w:w="9484" w:type="dxa"/>
            <w:gridSpan w:val="2"/>
            <w:noWrap w:val="0"/>
            <w:tcMar>
              <w:top w:w="15" w:type="dxa"/>
              <w:left w:w="15" w:type="dxa"/>
              <w:right w:w="15" w:type="dxa"/>
            </w:tcMar>
            <w:vAlign w:val="top"/>
          </w:tcPr>
          <w:p w14:paraId="45D511B1">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负责指导有关单位开展网络舆情监测，主动正面发声、回应社会关切，科学稳妥做好网上舆情引导应对。</w:t>
            </w:r>
          </w:p>
        </w:tc>
      </w:tr>
      <w:tr w14:paraId="0FAC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140" w:type="dxa"/>
            <w:vMerge w:val="continue"/>
            <w:noWrap w:val="0"/>
            <w:tcMar>
              <w:top w:w="15" w:type="dxa"/>
              <w:left w:w="15" w:type="dxa"/>
              <w:right w:w="15" w:type="dxa"/>
            </w:tcMar>
            <w:vAlign w:val="center"/>
          </w:tcPr>
          <w:p w14:paraId="7FEADA18">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7E8B11DF">
            <w:pPr>
              <w:pStyle w:val="14"/>
              <w:spacing w:line="360" w:lineRule="auto"/>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县教体局</w:t>
            </w:r>
          </w:p>
        </w:tc>
        <w:tc>
          <w:tcPr>
            <w:tcW w:w="9484" w:type="dxa"/>
            <w:gridSpan w:val="2"/>
            <w:noWrap w:val="0"/>
            <w:tcMar>
              <w:top w:w="15" w:type="dxa"/>
              <w:left w:w="15" w:type="dxa"/>
              <w:right w:w="15" w:type="dxa"/>
            </w:tcMar>
            <w:vAlign w:val="top"/>
          </w:tcPr>
          <w:p w14:paraId="522C1D8F">
            <w:pPr>
              <w:pStyle w:val="14"/>
              <w:keepNext w:val="0"/>
              <w:keepLines w:val="0"/>
              <w:pageBreakBefore w:val="0"/>
              <w:widowControl w:val="0"/>
              <w:kinsoku/>
              <w:wordWrap/>
              <w:overflowPunct/>
              <w:topLinePunct w:val="0"/>
              <w:autoSpaceDE/>
              <w:autoSpaceDN/>
              <w:bidi w:val="0"/>
              <w:adjustRightInd/>
              <w:snapToGrid/>
              <w:spacing w:line="440" w:lineRule="exact"/>
              <w:ind w:right="6" w:firstLine="240" w:firstLineChars="1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负责指导学校做好在校学生的应急疏散、安置；负责指导在校学生心理咨询、宣传教育。</w:t>
            </w:r>
          </w:p>
        </w:tc>
      </w:tr>
      <w:tr w14:paraId="6109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trPr>
        <w:tc>
          <w:tcPr>
            <w:tcW w:w="1140" w:type="dxa"/>
            <w:vMerge w:val="continue"/>
            <w:noWrap w:val="0"/>
            <w:tcMar>
              <w:top w:w="15" w:type="dxa"/>
              <w:left w:w="15" w:type="dxa"/>
              <w:right w:w="15" w:type="dxa"/>
            </w:tcMar>
            <w:vAlign w:val="center"/>
          </w:tcPr>
          <w:p w14:paraId="30C6C596">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2DCD98AA">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县发工科商局</w:t>
            </w:r>
          </w:p>
        </w:tc>
        <w:tc>
          <w:tcPr>
            <w:tcW w:w="9484" w:type="dxa"/>
            <w:gridSpan w:val="2"/>
            <w:noWrap w:val="0"/>
            <w:tcMar>
              <w:top w:w="15" w:type="dxa"/>
              <w:left w:w="15" w:type="dxa"/>
              <w:right w:w="15" w:type="dxa"/>
            </w:tcMar>
            <w:vAlign w:val="top"/>
          </w:tcPr>
          <w:p w14:paraId="78F34AB3">
            <w:pPr>
              <w:pStyle w:val="14"/>
              <w:keepNext w:val="0"/>
              <w:keepLines w:val="0"/>
              <w:pageBreakBefore w:val="0"/>
              <w:widowControl w:val="0"/>
              <w:kinsoku/>
              <w:wordWrap/>
              <w:overflowPunct/>
              <w:topLinePunct w:val="0"/>
              <w:autoSpaceDE/>
              <w:autoSpaceDN/>
              <w:bidi w:val="0"/>
              <w:adjustRightInd/>
              <w:snapToGrid/>
              <w:spacing w:line="440" w:lineRule="exact"/>
              <w:ind w:right="6" w:firstLine="240" w:firstLineChars="1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负责组织协调相关单位按照各自分工做好地震应急物资的储备、采购、调度工作，协调各部门积极推进应急基础设施建设和灾后重建</w:t>
            </w:r>
            <w:r>
              <w:rPr>
                <w:rFonts w:hint="eastAsia"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rPr>
              <w:t>落实救灾粮源、生活必须品和组织调运、供应，监测应急状态下生活必需品市场运行、供应情况，协调组织生活必需品应急供应。</w:t>
            </w:r>
            <w:r>
              <w:rPr>
                <w:rFonts w:ascii="Times New Roman" w:hAnsi="Times New Roman" w:eastAsia="仿宋" w:cs="Times New Roman"/>
                <w:color w:val="auto"/>
                <w:sz w:val="24"/>
                <w:lang w:val="en-US"/>
              </w:rPr>
              <w:t>负责重要物资生产组织工作；配合相关单位对监管企业生产和应急管理工作检查、督查；核实上报工业企业受损情况，指导制订工业，企业恢复生产方案和工业生产自救；配合有关单位，督促受灾受损</w:t>
            </w:r>
            <w:r>
              <w:rPr>
                <w:rFonts w:hint="eastAsia" w:ascii="Times New Roman" w:hAnsi="Times New Roman" w:eastAsia="仿宋" w:cs="Times New Roman"/>
                <w:color w:val="auto"/>
                <w:sz w:val="24"/>
                <w:lang w:val="en-US"/>
              </w:rPr>
              <w:t>区</w:t>
            </w:r>
            <w:r>
              <w:rPr>
                <w:rFonts w:ascii="Times New Roman" w:hAnsi="Times New Roman" w:eastAsia="仿宋" w:cs="Times New Roman"/>
                <w:color w:val="auto"/>
                <w:sz w:val="24"/>
                <w:lang w:val="en-US"/>
              </w:rPr>
              <w:t>属企业开展次生灾害抢险、排险工作。负责指导协调电力、新能源和可再生能源等能源企业地震次生灾害抢排险工作；组织协调灾区油气管道保护工作</w:t>
            </w:r>
            <w:r>
              <w:rPr>
                <w:rFonts w:hint="eastAsia" w:ascii="Times New Roman" w:hAnsi="Times New Roman" w:eastAsia="仿宋" w:cs="Times New Roman"/>
                <w:color w:val="auto"/>
                <w:sz w:val="24"/>
                <w:lang w:val="en-US" w:eastAsia="zh-CN"/>
              </w:rPr>
              <w:t>；</w:t>
            </w:r>
            <w:r>
              <w:rPr>
                <w:rFonts w:ascii="Times New Roman" w:hAnsi="Times New Roman" w:eastAsia="仿宋" w:cs="Times New Roman"/>
                <w:color w:val="auto"/>
                <w:sz w:val="24"/>
                <w:lang w:val="en-US"/>
              </w:rPr>
              <w:t>负责组织人防工程抢、排险；利用人民防空资源参与抢险救灾和应急救援。</w:t>
            </w:r>
          </w:p>
        </w:tc>
      </w:tr>
      <w:tr w14:paraId="4708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140" w:type="dxa"/>
            <w:vMerge w:val="continue"/>
            <w:noWrap w:val="0"/>
            <w:tcMar>
              <w:top w:w="15" w:type="dxa"/>
              <w:left w:w="15" w:type="dxa"/>
              <w:right w:w="15" w:type="dxa"/>
            </w:tcMar>
            <w:vAlign w:val="center"/>
          </w:tcPr>
          <w:p w14:paraId="6951EC32">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7DC2C805">
            <w:pPr>
              <w:pStyle w:val="14"/>
              <w:spacing w:line="344" w:lineRule="auto"/>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县公安局</w:t>
            </w:r>
          </w:p>
        </w:tc>
        <w:tc>
          <w:tcPr>
            <w:tcW w:w="9484" w:type="dxa"/>
            <w:gridSpan w:val="2"/>
            <w:noWrap w:val="0"/>
            <w:tcMar>
              <w:top w:w="15" w:type="dxa"/>
              <w:left w:w="15" w:type="dxa"/>
              <w:right w:w="15" w:type="dxa"/>
            </w:tcMar>
            <w:vAlign w:val="top"/>
          </w:tcPr>
          <w:p w14:paraId="3B165199">
            <w:pPr>
              <w:pStyle w:val="14"/>
              <w:keepNext w:val="0"/>
              <w:keepLines w:val="0"/>
              <w:pageBreakBefore w:val="0"/>
              <w:widowControl w:val="0"/>
              <w:kinsoku/>
              <w:wordWrap/>
              <w:overflowPunct/>
              <w:topLinePunct w:val="0"/>
              <w:autoSpaceDE/>
              <w:autoSpaceDN/>
              <w:bidi w:val="0"/>
              <w:adjustRightInd/>
              <w:snapToGrid/>
              <w:spacing w:line="440" w:lineRule="exact"/>
              <w:ind w:right="6" w:firstLine="240" w:firstLineChars="1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负责灾区社会治安管理和重点目标安全保卫，</w:t>
            </w:r>
            <w:r>
              <w:rPr>
                <w:rFonts w:hint="eastAsia" w:ascii="Times New Roman" w:hAnsi="Times New Roman" w:eastAsia="仿宋" w:cs="Times New Roman"/>
                <w:color w:val="auto"/>
                <w:sz w:val="24"/>
                <w:lang w:val="en-US"/>
              </w:rPr>
              <w:t>制定</w:t>
            </w:r>
            <w:r>
              <w:rPr>
                <w:rFonts w:ascii="Times New Roman" w:hAnsi="Times New Roman" w:eastAsia="仿宋" w:cs="Times New Roman"/>
                <w:color w:val="auto"/>
                <w:sz w:val="24"/>
                <w:lang w:val="en-US"/>
              </w:rPr>
              <w:t>预防和打击震后各种违法犯罪活动的实施方案；负责灾区及周边道路、高速公路的交通管制和疏导，维护交通秩序，保障</w:t>
            </w:r>
            <w:r>
              <w:rPr>
                <w:rFonts w:hint="eastAsia" w:ascii="Times New Roman" w:hAnsi="Times New Roman" w:eastAsia="仿宋" w:cs="Times New Roman"/>
                <w:color w:val="auto"/>
                <w:sz w:val="24"/>
                <w:lang w:val="en-US"/>
              </w:rPr>
              <w:t>县抗震</w:t>
            </w:r>
            <w:r>
              <w:rPr>
                <w:rFonts w:ascii="Times New Roman" w:hAnsi="Times New Roman" w:eastAsia="仿宋" w:cs="Times New Roman"/>
                <w:color w:val="auto"/>
                <w:sz w:val="24"/>
                <w:lang w:val="en-US"/>
              </w:rPr>
              <w:t>救灾指挥部与灾区间的救援通道畅通，对遇难人员进行尸体检验、数据勘验和身份识别。</w:t>
            </w:r>
          </w:p>
        </w:tc>
      </w:tr>
      <w:tr w14:paraId="4003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140" w:type="dxa"/>
            <w:vMerge w:val="continue"/>
            <w:noWrap w:val="0"/>
            <w:tcMar>
              <w:top w:w="15" w:type="dxa"/>
              <w:left w:w="15" w:type="dxa"/>
              <w:right w:w="15" w:type="dxa"/>
            </w:tcMar>
            <w:vAlign w:val="center"/>
          </w:tcPr>
          <w:p w14:paraId="78381E9E">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3EF5962A">
            <w:pPr>
              <w:pStyle w:val="14"/>
              <w:spacing w:line="360" w:lineRule="auto"/>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县司法局</w:t>
            </w:r>
          </w:p>
        </w:tc>
        <w:tc>
          <w:tcPr>
            <w:tcW w:w="9484" w:type="dxa"/>
            <w:gridSpan w:val="2"/>
            <w:noWrap w:val="0"/>
            <w:tcMar>
              <w:top w:w="15" w:type="dxa"/>
              <w:left w:w="15" w:type="dxa"/>
              <w:right w:w="15" w:type="dxa"/>
            </w:tcMar>
            <w:vAlign w:val="top"/>
          </w:tcPr>
          <w:p w14:paraId="65B477D6">
            <w:pPr>
              <w:pStyle w:val="14"/>
              <w:keepNext w:val="0"/>
              <w:keepLines w:val="0"/>
              <w:pageBreakBefore w:val="0"/>
              <w:widowControl w:val="0"/>
              <w:kinsoku/>
              <w:wordWrap/>
              <w:overflowPunct/>
              <w:topLinePunct w:val="0"/>
              <w:autoSpaceDE/>
              <w:autoSpaceDN/>
              <w:bidi w:val="0"/>
              <w:adjustRightInd/>
              <w:snapToGrid/>
              <w:spacing w:line="440" w:lineRule="exact"/>
              <w:ind w:right="6" w:firstLine="240" w:firstLineChars="1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负责司法系统监狱、戒毒场所等特殊单位及群体的监控和转移安置，提供法律服务。</w:t>
            </w:r>
          </w:p>
        </w:tc>
      </w:tr>
      <w:tr w14:paraId="7BBF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140" w:type="dxa"/>
            <w:vMerge w:val="continue"/>
            <w:noWrap w:val="0"/>
            <w:tcMar>
              <w:top w:w="15" w:type="dxa"/>
              <w:left w:w="15" w:type="dxa"/>
              <w:right w:w="15" w:type="dxa"/>
            </w:tcMar>
            <w:vAlign w:val="center"/>
          </w:tcPr>
          <w:p w14:paraId="3798EBC6">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689CD571">
            <w:pPr>
              <w:pStyle w:val="14"/>
              <w:spacing w:line="360" w:lineRule="auto"/>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县财政局</w:t>
            </w:r>
          </w:p>
        </w:tc>
        <w:tc>
          <w:tcPr>
            <w:tcW w:w="9484" w:type="dxa"/>
            <w:gridSpan w:val="2"/>
            <w:noWrap w:val="0"/>
            <w:tcMar>
              <w:top w:w="15" w:type="dxa"/>
              <w:left w:w="15" w:type="dxa"/>
              <w:right w:w="15" w:type="dxa"/>
            </w:tcMar>
            <w:vAlign w:val="top"/>
          </w:tcPr>
          <w:p w14:paraId="441ECA9C">
            <w:pPr>
              <w:pStyle w:val="14"/>
              <w:keepNext w:val="0"/>
              <w:keepLines w:val="0"/>
              <w:pageBreakBefore w:val="0"/>
              <w:widowControl w:val="0"/>
              <w:kinsoku/>
              <w:wordWrap/>
              <w:overflowPunct/>
              <w:topLinePunct w:val="0"/>
              <w:autoSpaceDE/>
              <w:autoSpaceDN/>
              <w:bidi w:val="0"/>
              <w:adjustRightInd/>
              <w:snapToGrid/>
              <w:spacing w:line="440" w:lineRule="exact"/>
              <w:ind w:right="6" w:firstLine="240" w:firstLineChars="1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按照分级负担原则，负责救灾资金筹集、管理，配合做好财政救灾资金、政府间捐赠资金及其他社会捐赠资金使用管理。负责组织对所需应急救援物资的政府采购，并对</w:t>
            </w:r>
            <w:r>
              <w:rPr>
                <w:rFonts w:hint="eastAsia" w:ascii="Times New Roman" w:hAnsi="Times New Roman" w:eastAsia="仿宋" w:cs="Times New Roman"/>
                <w:color w:val="auto"/>
                <w:sz w:val="24"/>
                <w:lang w:val="en-US"/>
              </w:rPr>
              <w:t>县应急</w:t>
            </w:r>
            <w:r>
              <w:rPr>
                <w:rFonts w:ascii="Times New Roman" w:hAnsi="Times New Roman" w:eastAsia="仿宋" w:cs="Times New Roman"/>
                <w:color w:val="auto"/>
                <w:sz w:val="24"/>
                <w:lang w:val="en-US"/>
              </w:rPr>
              <w:t>救援物资的采购、储存、调运所需资金予以保障。</w:t>
            </w:r>
          </w:p>
        </w:tc>
      </w:tr>
      <w:tr w14:paraId="5DFD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trPr>
        <w:tc>
          <w:tcPr>
            <w:tcW w:w="1140" w:type="dxa"/>
            <w:vMerge w:val="restart"/>
            <w:noWrap w:val="0"/>
            <w:tcMar>
              <w:top w:w="15" w:type="dxa"/>
              <w:left w:w="15" w:type="dxa"/>
              <w:right w:w="15" w:type="dxa"/>
            </w:tcMar>
            <w:vAlign w:val="center"/>
          </w:tcPr>
          <w:p w14:paraId="07D9AB4D">
            <w:pPr>
              <w:widowControl/>
              <w:spacing w:line="400" w:lineRule="exact"/>
              <w:jc w:val="center"/>
              <w:textAlignment w:val="center"/>
              <w:rPr>
                <w:rFonts w:hint="eastAsia" w:eastAsia="仿宋_GB2312"/>
                <w:b/>
                <w:bCs/>
                <w:color w:val="auto"/>
                <w:kern w:val="0"/>
                <w:sz w:val="24"/>
              </w:rPr>
            </w:pPr>
            <w:r>
              <w:rPr>
                <w:rFonts w:hint="eastAsia" w:eastAsia="仿宋_GB2312"/>
                <w:b/>
                <w:bCs/>
                <w:color w:val="auto"/>
                <w:kern w:val="0"/>
                <w:sz w:val="24"/>
              </w:rPr>
              <w:t>成员单位</w:t>
            </w:r>
          </w:p>
        </w:tc>
        <w:tc>
          <w:tcPr>
            <w:tcW w:w="2436" w:type="dxa"/>
            <w:noWrap w:val="0"/>
            <w:tcMar>
              <w:top w:w="15" w:type="dxa"/>
              <w:left w:w="15" w:type="dxa"/>
              <w:right w:w="15" w:type="dxa"/>
            </w:tcMar>
            <w:vAlign w:val="center"/>
          </w:tcPr>
          <w:p w14:paraId="5BE19B41">
            <w:pPr>
              <w:pStyle w:val="14"/>
              <w:spacing w:before="1" w:line="344" w:lineRule="auto"/>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县规划自然资源局</w:t>
            </w:r>
          </w:p>
        </w:tc>
        <w:tc>
          <w:tcPr>
            <w:tcW w:w="9484" w:type="dxa"/>
            <w:gridSpan w:val="2"/>
            <w:noWrap w:val="0"/>
            <w:tcMar>
              <w:top w:w="15" w:type="dxa"/>
              <w:left w:w="15" w:type="dxa"/>
              <w:right w:w="15" w:type="dxa"/>
            </w:tcMar>
            <w:vAlign w:val="top"/>
          </w:tcPr>
          <w:p w14:paraId="1845BD5F">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负责次生地质灾害应急调查、监测，指导地质灾害应急治理工程。</w:t>
            </w:r>
            <w:r>
              <w:rPr>
                <w:rFonts w:hint="eastAsia" w:ascii="Times New Roman" w:hAnsi="Times New Roman" w:eastAsia="仿宋" w:cs="Times New Roman"/>
                <w:color w:val="auto"/>
                <w:sz w:val="24"/>
                <w:lang w:val="en-US"/>
              </w:rPr>
              <w:t>负责提供现场卫星及无人机获取的遥感影像资料，提供反映地形、地势、交通、河流、村落、植被覆盖等现状的电子地图信息，提供行政区划、交通等专题图件资料，为应急处置提供相关技术支撑</w:t>
            </w:r>
            <w:r>
              <w:rPr>
                <w:rFonts w:hint="eastAsia" w:ascii="Times New Roman" w:hAnsi="Times New Roman" w:eastAsia="仿宋" w:cs="Times New Roman"/>
                <w:color w:val="auto"/>
                <w:sz w:val="24"/>
                <w:lang w:val="en-US" w:eastAsia="zh-CN"/>
              </w:rPr>
              <w:t>。</w:t>
            </w:r>
          </w:p>
        </w:tc>
      </w:tr>
      <w:tr w14:paraId="50B1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1140" w:type="dxa"/>
            <w:vMerge w:val="continue"/>
            <w:noWrap w:val="0"/>
            <w:tcMar>
              <w:top w:w="15" w:type="dxa"/>
              <w:left w:w="15" w:type="dxa"/>
              <w:right w:w="15" w:type="dxa"/>
            </w:tcMar>
            <w:vAlign w:val="center"/>
          </w:tcPr>
          <w:p w14:paraId="6CDD7F2F">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36EAD697">
            <w:pPr>
              <w:pStyle w:val="14"/>
              <w:adjustRightInd w:val="0"/>
              <w:snapToGrid w:val="0"/>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忻州</w:t>
            </w:r>
            <w:r>
              <w:rPr>
                <w:rFonts w:ascii="Times New Roman" w:hAnsi="Times New Roman" w:eastAsia="仿宋" w:cs="Times New Roman"/>
                <w:color w:val="auto"/>
                <w:sz w:val="24"/>
                <w:lang w:val="en-US"/>
              </w:rPr>
              <w:t>市生态环境局</w:t>
            </w:r>
          </w:p>
          <w:p w14:paraId="59859201">
            <w:pPr>
              <w:pStyle w:val="14"/>
              <w:adjustRightInd w:val="0"/>
              <w:snapToGrid w:val="0"/>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河曲</w:t>
            </w:r>
            <w:r>
              <w:rPr>
                <w:rFonts w:ascii="Times New Roman" w:hAnsi="Times New Roman" w:eastAsia="仿宋" w:cs="Times New Roman"/>
                <w:color w:val="auto"/>
                <w:sz w:val="24"/>
                <w:lang w:val="en-US"/>
              </w:rPr>
              <w:t>分局</w:t>
            </w:r>
          </w:p>
        </w:tc>
        <w:tc>
          <w:tcPr>
            <w:tcW w:w="9484" w:type="dxa"/>
            <w:gridSpan w:val="2"/>
            <w:noWrap w:val="0"/>
            <w:tcMar>
              <w:top w:w="15" w:type="dxa"/>
              <w:left w:w="15" w:type="dxa"/>
              <w:right w:w="15" w:type="dxa"/>
            </w:tcMar>
            <w:vAlign w:val="center"/>
          </w:tcPr>
          <w:p w14:paraId="732C4FF9">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负责灾区次生环境污染情况的监测预报及应急处置。</w:t>
            </w:r>
          </w:p>
        </w:tc>
      </w:tr>
      <w:tr w14:paraId="63E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140" w:type="dxa"/>
            <w:vMerge w:val="continue"/>
            <w:noWrap w:val="0"/>
            <w:tcMar>
              <w:top w:w="15" w:type="dxa"/>
              <w:left w:w="15" w:type="dxa"/>
              <w:right w:w="15" w:type="dxa"/>
            </w:tcMar>
            <w:vAlign w:val="center"/>
          </w:tcPr>
          <w:p w14:paraId="6DA62682">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5EC18171">
            <w:pPr>
              <w:pStyle w:val="14"/>
              <w:spacing w:before="121"/>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县城建交通局</w:t>
            </w:r>
          </w:p>
        </w:tc>
        <w:tc>
          <w:tcPr>
            <w:tcW w:w="9484" w:type="dxa"/>
            <w:gridSpan w:val="2"/>
            <w:noWrap w:val="0"/>
            <w:tcMar>
              <w:top w:w="15" w:type="dxa"/>
              <w:left w:w="15" w:type="dxa"/>
              <w:right w:w="15" w:type="dxa"/>
            </w:tcMar>
            <w:vAlign w:val="top"/>
          </w:tcPr>
          <w:p w14:paraId="42EFA854">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负责指导城市供水、排水、燃气、热力、道路照明等市政公用设施抢、排险工作；负责开展灾害损失调查评估和指导建筑物安全性鉴定</w:t>
            </w:r>
            <w:r>
              <w:rPr>
                <w:rFonts w:hint="eastAsia" w:ascii="Times New Roman" w:hAnsi="Times New Roman" w:eastAsia="仿宋" w:cs="Times New Roman"/>
                <w:color w:val="auto"/>
                <w:sz w:val="24"/>
                <w:lang w:val="en-US"/>
              </w:rPr>
              <w:t>工作</w:t>
            </w:r>
            <w:r>
              <w:rPr>
                <w:rFonts w:ascii="Times New Roman" w:hAnsi="Times New Roman" w:eastAsia="仿宋" w:cs="Times New Roman"/>
                <w:color w:val="auto"/>
                <w:sz w:val="24"/>
                <w:lang w:val="en-US"/>
              </w:rPr>
              <w:t>。负责开辟公路救灾专用通道，协助调集、征用救灾车辆，组织公路抢修维护，保障运输通畅。负责辖区内受灾地区损毁供水设备和设施的修复工作，确保灾区地质灾害应急指挥和受灾群众正常用水。</w:t>
            </w:r>
          </w:p>
        </w:tc>
      </w:tr>
      <w:tr w14:paraId="0EE0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rPr>
        <w:tc>
          <w:tcPr>
            <w:tcW w:w="1140" w:type="dxa"/>
            <w:vMerge w:val="continue"/>
            <w:noWrap w:val="0"/>
            <w:tcMar>
              <w:top w:w="15" w:type="dxa"/>
              <w:left w:w="15" w:type="dxa"/>
              <w:right w:w="15" w:type="dxa"/>
            </w:tcMar>
            <w:vAlign w:val="center"/>
          </w:tcPr>
          <w:p w14:paraId="59822F08">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7ACF9489">
            <w:pPr>
              <w:pStyle w:val="14"/>
              <w:spacing w:before="121"/>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县农业水利局</w:t>
            </w:r>
          </w:p>
        </w:tc>
        <w:tc>
          <w:tcPr>
            <w:tcW w:w="9484" w:type="dxa"/>
            <w:gridSpan w:val="2"/>
            <w:noWrap w:val="0"/>
            <w:tcMar>
              <w:top w:w="15" w:type="dxa"/>
              <w:left w:w="15" w:type="dxa"/>
              <w:right w:w="15" w:type="dxa"/>
            </w:tcMar>
            <w:vAlign w:val="top"/>
          </w:tcPr>
          <w:p w14:paraId="5A1CCBDD">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负责综合协调灾区动物疫情防治工作；负责农业生产自救，核实受损情况，指导制定农业恢复生产方案</w:t>
            </w:r>
            <w:r>
              <w:rPr>
                <w:rFonts w:hint="eastAsia" w:ascii="Times New Roman" w:hAnsi="Times New Roman" w:eastAsia="仿宋" w:cs="Times New Roman"/>
                <w:color w:val="auto"/>
                <w:sz w:val="24"/>
                <w:lang w:val="en-US" w:eastAsia="zh-CN"/>
              </w:rPr>
              <w:t>,组织落实</w:t>
            </w:r>
            <w:r>
              <w:rPr>
                <w:rFonts w:hint="eastAsia" w:ascii="Times New Roman" w:hAnsi="Times New Roman" w:eastAsia="仿宋" w:cs="Times New Roman"/>
                <w:color w:val="auto"/>
                <w:sz w:val="24"/>
                <w:lang w:val="en-US"/>
              </w:rPr>
              <w:t>农业生产恢复</w:t>
            </w:r>
            <w:r>
              <w:rPr>
                <w:rFonts w:hint="eastAsia" w:ascii="Times New Roman" w:hAnsi="Times New Roman" w:eastAsia="仿宋" w:cs="Times New Roman"/>
                <w:color w:val="auto"/>
                <w:sz w:val="24"/>
                <w:lang w:val="en-US" w:eastAsia="zh-CN"/>
              </w:rPr>
              <w:t>措施；</w:t>
            </w:r>
            <w:r>
              <w:rPr>
                <w:rFonts w:ascii="Times New Roman" w:hAnsi="Times New Roman" w:eastAsia="仿宋" w:cs="Times New Roman"/>
                <w:color w:val="auto"/>
                <w:sz w:val="24"/>
                <w:lang w:val="en-US"/>
              </w:rPr>
              <w:t>负责水库、河道、堤坝等水利设施的监控、防范、处置、抢险和隐患排查工作</w:t>
            </w:r>
            <w:r>
              <w:rPr>
                <w:rFonts w:hint="eastAsia" w:ascii="Times New Roman" w:hAnsi="Times New Roman" w:eastAsia="仿宋" w:cs="Times New Roman"/>
                <w:color w:val="auto"/>
                <w:sz w:val="24"/>
                <w:lang w:val="en-US" w:eastAsia="zh-CN"/>
              </w:rPr>
              <w:t>,指导水利工程应急抢险技术服务工作</w:t>
            </w:r>
            <w:r>
              <w:rPr>
                <w:rFonts w:hint="eastAsia" w:ascii="Times New Roman" w:hAnsi="Times New Roman" w:eastAsia="仿宋" w:cs="Times New Roman"/>
                <w:color w:val="auto"/>
                <w:sz w:val="24"/>
                <w:lang w:val="en-US"/>
              </w:rPr>
              <w:t>。</w:t>
            </w:r>
          </w:p>
        </w:tc>
      </w:tr>
      <w:tr w14:paraId="2725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140" w:type="dxa"/>
            <w:vMerge w:val="restart"/>
            <w:noWrap w:val="0"/>
            <w:tcMar>
              <w:top w:w="15" w:type="dxa"/>
              <w:left w:w="15" w:type="dxa"/>
              <w:right w:w="15" w:type="dxa"/>
            </w:tcMar>
            <w:vAlign w:val="center"/>
          </w:tcPr>
          <w:p w14:paraId="753BDF57">
            <w:pPr>
              <w:spacing w:line="400" w:lineRule="exact"/>
              <w:jc w:val="center"/>
              <w:rPr>
                <w:rFonts w:eastAsia="仿宋_GB2312"/>
                <w:b/>
                <w:bCs/>
                <w:color w:val="auto"/>
                <w:kern w:val="0"/>
                <w:sz w:val="24"/>
              </w:rPr>
            </w:pPr>
            <w:r>
              <w:rPr>
                <w:rFonts w:eastAsia="仿宋"/>
                <w:b/>
                <w:bCs/>
                <w:color w:val="auto"/>
                <w:sz w:val="24"/>
              </w:rPr>
              <w:t>成员单位</w:t>
            </w:r>
          </w:p>
        </w:tc>
        <w:tc>
          <w:tcPr>
            <w:tcW w:w="2436" w:type="dxa"/>
            <w:noWrap w:val="0"/>
            <w:tcMar>
              <w:top w:w="15" w:type="dxa"/>
              <w:left w:w="15" w:type="dxa"/>
              <w:right w:w="15" w:type="dxa"/>
            </w:tcMar>
            <w:vAlign w:val="center"/>
          </w:tcPr>
          <w:p w14:paraId="675F5053">
            <w:pPr>
              <w:pStyle w:val="14"/>
              <w:spacing w:before="121"/>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县文旅局</w:t>
            </w:r>
          </w:p>
        </w:tc>
        <w:tc>
          <w:tcPr>
            <w:tcW w:w="9484" w:type="dxa"/>
            <w:gridSpan w:val="2"/>
            <w:noWrap w:val="0"/>
            <w:tcMar>
              <w:top w:w="15" w:type="dxa"/>
              <w:left w:w="15" w:type="dxa"/>
              <w:right w:w="15" w:type="dxa"/>
            </w:tcMar>
            <w:vAlign w:val="top"/>
          </w:tcPr>
          <w:p w14:paraId="27F986D9">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负责指导旅游景区和旅行社做好游客疏散和安抚工作；指导文化和旅游业开展地震应急宣传；负责灾区内重点文物受损情况核实。</w:t>
            </w:r>
          </w:p>
        </w:tc>
      </w:tr>
      <w:tr w14:paraId="28AA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40" w:type="dxa"/>
            <w:vMerge w:val="continue"/>
            <w:noWrap w:val="0"/>
            <w:tcMar>
              <w:top w:w="15" w:type="dxa"/>
              <w:left w:w="15" w:type="dxa"/>
              <w:right w:w="15" w:type="dxa"/>
            </w:tcMar>
            <w:vAlign w:val="center"/>
          </w:tcPr>
          <w:p w14:paraId="536F55A5">
            <w:pPr>
              <w:spacing w:line="400" w:lineRule="exact"/>
              <w:rPr>
                <w:rFonts w:eastAsia="仿宋"/>
                <w:b/>
                <w:bCs/>
                <w:color w:val="auto"/>
                <w:kern w:val="0"/>
                <w:sz w:val="24"/>
              </w:rPr>
            </w:pPr>
          </w:p>
        </w:tc>
        <w:tc>
          <w:tcPr>
            <w:tcW w:w="2436" w:type="dxa"/>
            <w:noWrap w:val="0"/>
            <w:tcMar>
              <w:top w:w="15" w:type="dxa"/>
              <w:left w:w="15" w:type="dxa"/>
              <w:right w:w="15" w:type="dxa"/>
            </w:tcMar>
            <w:vAlign w:val="center"/>
          </w:tcPr>
          <w:p w14:paraId="5D305F9E">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县卫健局</w:t>
            </w:r>
          </w:p>
        </w:tc>
        <w:tc>
          <w:tcPr>
            <w:tcW w:w="9484" w:type="dxa"/>
            <w:gridSpan w:val="2"/>
            <w:noWrap w:val="0"/>
            <w:tcMar>
              <w:top w:w="15" w:type="dxa"/>
              <w:left w:w="15" w:type="dxa"/>
              <w:right w:w="15" w:type="dxa"/>
            </w:tcMar>
            <w:vAlign w:val="top"/>
          </w:tcPr>
          <w:p w14:paraId="73506A27">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统筹指挥调派紧急医学救援力量，设置救护场所或临时医疗点，开展伤员现场急救、转运和救治；组织开展灾区消杀防疫、生活用水卫生监测，预防控制传染病及疫情暴发；组织巡回医疗队，向灾区群众和救援人员提供医疗服务和心理援助。</w:t>
            </w:r>
          </w:p>
        </w:tc>
      </w:tr>
      <w:tr w14:paraId="3E1E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5" w:hRule="atLeast"/>
        </w:trPr>
        <w:tc>
          <w:tcPr>
            <w:tcW w:w="1140" w:type="dxa"/>
            <w:vMerge w:val="continue"/>
            <w:noWrap w:val="0"/>
            <w:tcMar>
              <w:top w:w="15" w:type="dxa"/>
              <w:left w:w="15" w:type="dxa"/>
              <w:right w:w="15" w:type="dxa"/>
            </w:tcMar>
            <w:vAlign w:val="center"/>
          </w:tcPr>
          <w:p w14:paraId="68E442C1">
            <w:pPr>
              <w:widowControl/>
              <w:spacing w:line="400" w:lineRule="exact"/>
              <w:ind w:firstLine="482" w:firstLineChars="200"/>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38899915">
            <w:pPr>
              <w:pStyle w:val="14"/>
              <w:spacing w:before="121"/>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县应急局</w:t>
            </w:r>
          </w:p>
        </w:tc>
        <w:tc>
          <w:tcPr>
            <w:tcW w:w="9484" w:type="dxa"/>
            <w:gridSpan w:val="2"/>
            <w:noWrap w:val="0"/>
            <w:tcMar>
              <w:top w:w="15" w:type="dxa"/>
              <w:left w:w="15" w:type="dxa"/>
              <w:right w:w="15" w:type="dxa"/>
            </w:tcMar>
            <w:vAlign w:val="top"/>
          </w:tcPr>
          <w:p w14:paraId="695EECF6">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负责承担指挥部办公室日常工作；负责组织协调</w:t>
            </w:r>
            <w:r>
              <w:rPr>
                <w:rFonts w:hint="eastAsia" w:ascii="Times New Roman" w:hAnsi="Times New Roman" w:eastAsia="仿宋" w:cs="Times New Roman"/>
                <w:color w:val="auto"/>
                <w:sz w:val="24"/>
                <w:lang w:val="en-US"/>
              </w:rPr>
              <w:t>县指挥部</w:t>
            </w:r>
            <w:r>
              <w:rPr>
                <w:rFonts w:ascii="Times New Roman" w:hAnsi="Times New Roman" w:eastAsia="仿宋" w:cs="Times New Roman"/>
                <w:color w:val="auto"/>
                <w:sz w:val="24"/>
                <w:lang w:val="en-US"/>
              </w:rPr>
              <w:t>成员单位做好抗震救灾应急处置和救援工作，通报地震震情、灾情及应急救援、抗震救灾动态等信息，指导乡（镇）抗震救灾工作；负责协调各类救援队伍参加抢险救援；负责震害损失调查评估；负责灾民转移、安置；指导灾区企业开展次生灾害抢险、排险工作；协调开放应急避难场所；承担地震监测预报、地震速报、震情趋势判定、地震灾害快速评估、地震灾害调查、地震烈度评定、地震灾害损失评估等工作；开展震后地震科学考察，参与制定地震灾区重建规划；开展地震知识宣传；完成市应急管理局和</w:t>
            </w:r>
            <w:r>
              <w:rPr>
                <w:rFonts w:hint="eastAsia" w:ascii="Times New Roman" w:hAnsi="Times New Roman" w:eastAsia="仿宋" w:cs="Times New Roman"/>
                <w:color w:val="auto"/>
                <w:sz w:val="24"/>
                <w:lang w:val="en-US"/>
              </w:rPr>
              <w:t>县委</w:t>
            </w:r>
            <w:r>
              <w:rPr>
                <w:rFonts w:ascii="Times New Roman" w:hAnsi="Times New Roman" w:eastAsia="仿宋" w:cs="Times New Roman"/>
                <w:color w:val="auto"/>
                <w:sz w:val="24"/>
                <w:lang w:val="en-US"/>
              </w:rPr>
              <w:t>、</w:t>
            </w:r>
            <w:r>
              <w:rPr>
                <w:rFonts w:hint="eastAsia" w:ascii="Times New Roman" w:hAnsi="Times New Roman" w:eastAsia="仿宋" w:cs="Times New Roman"/>
                <w:color w:val="auto"/>
                <w:sz w:val="24"/>
                <w:lang w:val="en-US"/>
              </w:rPr>
              <w:t>县政府</w:t>
            </w:r>
            <w:r>
              <w:rPr>
                <w:rFonts w:ascii="Times New Roman" w:hAnsi="Times New Roman" w:eastAsia="仿宋" w:cs="Times New Roman"/>
                <w:color w:val="auto"/>
                <w:sz w:val="24"/>
                <w:lang w:val="en-US"/>
              </w:rPr>
              <w:t>交办的其他工作。</w:t>
            </w:r>
          </w:p>
        </w:tc>
      </w:tr>
      <w:tr w14:paraId="1DB4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140" w:type="dxa"/>
            <w:vMerge w:val="continue"/>
            <w:noWrap w:val="0"/>
            <w:tcMar>
              <w:top w:w="15" w:type="dxa"/>
              <w:left w:w="15" w:type="dxa"/>
              <w:right w:w="15" w:type="dxa"/>
            </w:tcMar>
            <w:vAlign w:val="center"/>
          </w:tcPr>
          <w:p w14:paraId="0AF6EBA8">
            <w:pPr>
              <w:spacing w:line="400" w:lineRule="exact"/>
              <w:jc w:val="center"/>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5977B5E4">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县气象局</w:t>
            </w:r>
          </w:p>
        </w:tc>
        <w:tc>
          <w:tcPr>
            <w:tcW w:w="9484" w:type="dxa"/>
            <w:gridSpan w:val="2"/>
            <w:noWrap w:val="0"/>
            <w:tcMar>
              <w:top w:w="15" w:type="dxa"/>
              <w:left w:w="15" w:type="dxa"/>
              <w:right w:w="15" w:type="dxa"/>
            </w:tcMar>
            <w:vAlign w:val="center"/>
          </w:tcPr>
          <w:p w14:paraId="2FF8F22E">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负责天气监测、预警、预报，提供气象保障信息。</w:t>
            </w:r>
          </w:p>
        </w:tc>
      </w:tr>
      <w:tr w14:paraId="76C4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140" w:type="dxa"/>
            <w:vMerge w:val="continue"/>
            <w:noWrap w:val="0"/>
            <w:tcMar>
              <w:top w:w="15" w:type="dxa"/>
              <w:left w:w="15" w:type="dxa"/>
              <w:right w:w="15" w:type="dxa"/>
            </w:tcMar>
            <w:vAlign w:val="center"/>
          </w:tcPr>
          <w:p w14:paraId="6A8AE591">
            <w:pPr>
              <w:spacing w:line="400" w:lineRule="exact"/>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3B10D6F8">
            <w:pPr>
              <w:pStyle w:val="14"/>
              <w:spacing w:before="121"/>
              <w:ind w:right="6"/>
              <w:jc w:val="center"/>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县综合执法局</w:t>
            </w:r>
          </w:p>
        </w:tc>
        <w:tc>
          <w:tcPr>
            <w:tcW w:w="9484" w:type="dxa"/>
            <w:gridSpan w:val="2"/>
            <w:noWrap w:val="0"/>
            <w:tcMar>
              <w:top w:w="15" w:type="dxa"/>
              <w:left w:w="15" w:type="dxa"/>
              <w:right w:w="15" w:type="dxa"/>
            </w:tcMar>
            <w:vAlign w:val="top"/>
          </w:tcPr>
          <w:p w14:paraId="1712DF8A">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负责组织指导灾区电梯、锅炉等特种设备使用单位紧急救援工作；负责救灾物品质量监管；负责救灾餐饮食品的安全和药品、医疗器械的监督管理。</w:t>
            </w:r>
          </w:p>
        </w:tc>
      </w:tr>
      <w:tr w14:paraId="2D53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1140" w:type="dxa"/>
            <w:vMerge w:val="continue"/>
            <w:noWrap w:val="0"/>
            <w:tcMar>
              <w:top w:w="15" w:type="dxa"/>
              <w:left w:w="15" w:type="dxa"/>
              <w:right w:w="15" w:type="dxa"/>
            </w:tcMar>
            <w:vAlign w:val="center"/>
          </w:tcPr>
          <w:p w14:paraId="1A525B6B">
            <w:pPr>
              <w:spacing w:line="400" w:lineRule="exact"/>
              <w:textAlignment w:val="center"/>
              <w:rPr>
                <w:rFonts w:eastAsia="仿宋_GB2312"/>
                <w:b/>
                <w:bCs/>
                <w:color w:val="auto"/>
                <w:kern w:val="0"/>
                <w:sz w:val="24"/>
              </w:rPr>
            </w:pPr>
          </w:p>
        </w:tc>
        <w:tc>
          <w:tcPr>
            <w:tcW w:w="2436" w:type="dxa"/>
            <w:noWrap w:val="0"/>
            <w:tcMar>
              <w:top w:w="15" w:type="dxa"/>
              <w:left w:w="15" w:type="dxa"/>
              <w:right w:w="15" w:type="dxa"/>
            </w:tcMar>
            <w:vAlign w:val="center"/>
          </w:tcPr>
          <w:p w14:paraId="17D95D2C">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县民政人社局</w:t>
            </w:r>
          </w:p>
        </w:tc>
        <w:tc>
          <w:tcPr>
            <w:tcW w:w="9484" w:type="dxa"/>
            <w:gridSpan w:val="2"/>
            <w:noWrap w:val="0"/>
            <w:tcMar>
              <w:top w:w="15" w:type="dxa"/>
              <w:left w:w="15" w:type="dxa"/>
              <w:right w:w="15" w:type="dxa"/>
            </w:tcMar>
            <w:vAlign w:val="top"/>
          </w:tcPr>
          <w:p w14:paraId="76E2B062">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负责查灾核灾和灾情上报工作</w:t>
            </w:r>
            <w:r>
              <w:rPr>
                <w:rFonts w:hint="eastAsia" w:ascii="Times New Roman" w:hAnsi="Times New Roman" w:eastAsia="仿宋" w:cs="Times New Roman"/>
                <w:color w:val="auto"/>
                <w:sz w:val="24"/>
                <w:lang w:val="en-US"/>
              </w:rPr>
              <w:t>；</w:t>
            </w:r>
            <w:r>
              <w:rPr>
                <w:rFonts w:ascii="Times New Roman" w:hAnsi="Times New Roman" w:eastAsia="仿宋" w:cs="Times New Roman"/>
                <w:color w:val="auto"/>
                <w:sz w:val="24"/>
                <w:lang w:val="en-US"/>
              </w:rPr>
              <w:t>组织协调抗灾、救灾工作和抢救、转移、安置、慰问灾民</w:t>
            </w:r>
            <w:r>
              <w:rPr>
                <w:rFonts w:hint="eastAsia" w:ascii="Times New Roman" w:hAnsi="Times New Roman" w:eastAsia="仿宋" w:cs="Times New Roman"/>
                <w:color w:val="auto"/>
                <w:sz w:val="24"/>
                <w:lang w:val="en-US"/>
              </w:rPr>
              <w:t>；</w:t>
            </w:r>
            <w:r>
              <w:rPr>
                <w:rFonts w:ascii="Times New Roman" w:hAnsi="Times New Roman" w:eastAsia="仿宋" w:cs="Times New Roman"/>
                <w:color w:val="auto"/>
                <w:sz w:val="24"/>
                <w:lang w:val="en-US"/>
              </w:rPr>
              <w:t>指导灾后重建和灾区生产自救；管理和分配救灾款物，承担救灾救济捐赠款物的接收、分配工作。</w:t>
            </w:r>
            <w:r>
              <w:rPr>
                <w:rFonts w:hint="eastAsia" w:ascii="Times New Roman" w:hAnsi="Times New Roman" w:eastAsia="仿宋" w:cs="Times New Roman"/>
                <w:color w:val="auto"/>
                <w:sz w:val="24"/>
                <w:lang w:val="en-US" w:eastAsia="zh-CN"/>
              </w:rPr>
              <w:t>负责灾区遇难者遗体火化工作。负责城乡居民最低生活保障、临时救助、特困人员救助供养、生活无着流浪乞讨人员救助工作。</w:t>
            </w:r>
          </w:p>
        </w:tc>
      </w:tr>
      <w:tr w14:paraId="16CA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1140" w:type="dxa"/>
            <w:vMerge w:val="continue"/>
            <w:noWrap w:val="0"/>
            <w:tcMar>
              <w:top w:w="15" w:type="dxa"/>
              <w:left w:w="15" w:type="dxa"/>
              <w:right w:w="15" w:type="dxa"/>
            </w:tcMar>
            <w:vAlign w:val="center"/>
          </w:tcPr>
          <w:p w14:paraId="066A471A">
            <w:pPr>
              <w:widowControl/>
              <w:spacing w:line="400" w:lineRule="exact"/>
              <w:textAlignment w:val="center"/>
              <w:rPr>
                <w:rFonts w:hint="eastAsia" w:eastAsia="仿宋_GB2312"/>
                <w:b/>
                <w:bCs/>
                <w:color w:val="auto"/>
                <w:kern w:val="0"/>
                <w:sz w:val="24"/>
              </w:rPr>
            </w:pPr>
          </w:p>
        </w:tc>
        <w:tc>
          <w:tcPr>
            <w:tcW w:w="2436" w:type="dxa"/>
            <w:noWrap w:val="0"/>
            <w:tcMar>
              <w:top w:w="15" w:type="dxa"/>
              <w:left w:w="15" w:type="dxa"/>
              <w:right w:w="15" w:type="dxa"/>
            </w:tcMar>
            <w:vAlign w:val="center"/>
          </w:tcPr>
          <w:p w14:paraId="3F5C37AD">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eastAsia="zh-CN"/>
              </w:rPr>
              <w:t>县委社工部</w:t>
            </w:r>
          </w:p>
        </w:tc>
        <w:tc>
          <w:tcPr>
            <w:tcW w:w="9484" w:type="dxa"/>
            <w:gridSpan w:val="2"/>
            <w:noWrap w:val="0"/>
            <w:tcMar>
              <w:top w:w="15" w:type="dxa"/>
              <w:left w:w="15" w:type="dxa"/>
              <w:right w:w="15" w:type="dxa"/>
            </w:tcMar>
            <w:vAlign w:val="center"/>
          </w:tcPr>
          <w:p w14:paraId="3C799A81">
            <w:pPr>
              <w:pStyle w:val="14"/>
              <w:spacing w:before="121"/>
              <w:ind w:right="6" w:firstLine="480" w:firstLineChars="200"/>
              <w:jc w:val="both"/>
              <w:rPr>
                <w:rFonts w:hint="eastAsia"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负责动员</w:t>
            </w:r>
            <w:r>
              <w:rPr>
                <w:rFonts w:hint="eastAsia" w:ascii="Times New Roman" w:hAnsi="Times New Roman" w:eastAsia="仿宋" w:cs="Times New Roman"/>
                <w:color w:val="auto"/>
                <w:sz w:val="24"/>
                <w:lang w:val="en-US" w:eastAsia="zh-CN"/>
              </w:rPr>
              <w:t>组织</w:t>
            </w:r>
            <w:r>
              <w:rPr>
                <w:rFonts w:ascii="Times New Roman" w:hAnsi="Times New Roman" w:eastAsia="仿宋" w:cs="Times New Roman"/>
                <w:color w:val="auto"/>
                <w:sz w:val="24"/>
                <w:lang w:val="en-US"/>
              </w:rPr>
              <w:t>志愿者为救灾救助提供应急志愿服务。</w:t>
            </w:r>
          </w:p>
        </w:tc>
      </w:tr>
      <w:tr w14:paraId="7D20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140" w:type="dxa"/>
            <w:vMerge w:val="continue"/>
            <w:noWrap w:val="0"/>
            <w:tcMar>
              <w:top w:w="15" w:type="dxa"/>
              <w:left w:w="15" w:type="dxa"/>
              <w:right w:w="15" w:type="dxa"/>
            </w:tcMar>
            <w:vAlign w:val="center"/>
          </w:tcPr>
          <w:p w14:paraId="32A1D743">
            <w:pPr>
              <w:widowControl/>
              <w:spacing w:line="400" w:lineRule="exact"/>
              <w:textAlignment w:val="center"/>
              <w:rPr>
                <w:rFonts w:hint="eastAsia" w:eastAsia="仿宋_GB2312"/>
                <w:b/>
                <w:bCs/>
                <w:color w:val="auto"/>
                <w:kern w:val="0"/>
                <w:sz w:val="24"/>
              </w:rPr>
            </w:pPr>
          </w:p>
        </w:tc>
        <w:tc>
          <w:tcPr>
            <w:tcW w:w="2436" w:type="dxa"/>
            <w:noWrap w:val="0"/>
            <w:tcMar>
              <w:top w:w="15" w:type="dxa"/>
              <w:left w:w="15" w:type="dxa"/>
              <w:right w:w="15" w:type="dxa"/>
            </w:tcMar>
            <w:vAlign w:val="center"/>
          </w:tcPr>
          <w:p w14:paraId="784A495E">
            <w:pPr>
              <w:pStyle w:val="14"/>
              <w:spacing w:before="121"/>
              <w:ind w:right="6"/>
              <w:jc w:val="center"/>
              <w:rPr>
                <w:rFonts w:hint="eastAsia" w:ascii="Times New Roman" w:hAnsi="Times New Roman" w:eastAsia="仿宋" w:cs="Times New Roman"/>
                <w:color w:val="auto"/>
                <w:sz w:val="24"/>
                <w:lang w:val="en-US"/>
              </w:rPr>
            </w:pPr>
            <w:r>
              <w:rPr>
                <w:rFonts w:ascii="Times New Roman" w:hAnsi="Times New Roman" w:eastAsia="仿宋" w:cs="Times New Roman"/>
                <w:color w:val="auto"/>
                <w:sz w:val="24"/>
                <w:lang w:val="en-US"/>
              </w:rPr>
              <w:t>团</w:t>
            </w:r>
            <w:r>
              <w:rPr>
                <w:rFonts w:hint="eastAsia" w:ascii="Times New Roman" w:hAnsi="Times New Roman" w:eastAsia="仿宋" w:cs="Times New Roman"/>
                <w:color w:val="auto"/>
                <w:sz w:val="24"/>
                <w:lang w:val="en-US"/>
              </w:rPr>
              <w:t>县委</w:t>
            </w:r>
          </w:p>
        </w:tc>
        <w:tc>
          <w:tcPr>
            <w:tcW w:w="9484" w:type="dxa"/>
            <w:gridSpan w:val="2"/>
            <w:noWrap w:val="0"/>
            <w:tcMar>
              <w:top w:w="15" w:type="dxa"/>
              <w:left w:w="15" w:type="dxa"/>
              <w:right w:w="15" w:type="dxa"/>
            </w:tcMar>
            <w:vAlign w:val="center"/>
          </w:tcPr>
          <w:p w14:paraId="7BC5B0C9">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hint="eastAsia" w:ascii="Times New Roman" w:hAnsi="Times New Roman" w:eastAsia="仿宋" w:cs="Times New Roman"/>
                <w:color w:val="auto"/>
                <w:sz w:val="24"/>
                <w:lang w:val="en-US" w:eastAsia="zh-CN"/>
              </w:rPr>
            </w:pPr>
            <w:r>
              <w:rPr>
                <w:rFonts w:ascii="Times New Roman" w:hAnsi="Times New Roman" w:eastAsia="仿宋" w:cs="Times New Roman"/>
                <w:color w:val="auto"/>
                <w:sz w:val="24"/>
                <w:lang w:val="en-US"/>
              </w:rPr>
              <w:t>负责动员青年志愿者为救灾救助提供应急志愿服务。</w:t>
            </w:r>
            <w:r>
              <w:rPr>
                <w:rFonts w:hint="eastAsia" w:ascii="Times New Roman" w:hAnsi="Times New Roman" w:eastAsia="仿宋" w:cs="Times New Roman"/>
                <w:color w:val="auto"/>
                <w:sz w:val="24"/>
                <w:lang w:val="en-US" w:eastAsia="zh-CN"/>
              </w:rPr>
              <w:t>协助开展自然灾害预防、避险和自救、互救的知识宣传。</w:t>
            </w:r>
          </w:p>
        </w:tc>
      </w:tr>
      <w:tr w14:paraId="289E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140" w:type="dxa"/>
            <w:vMerge w:val="continue"/>
            <w:noWrap w:val="0"/>
            <w:vAlign w:val="top"/>
          </w:tcPr>
          <w:p w14:paraId="2931D0FE">
            <w:pPr>
              <w:widowControl/>
              <w:spacing w:line="400" w:lineRule="exact"/>
              <w:ind w:firstLine="482" w:firstLineChars="200"/>
              <w:textAlignment w:val="center"/>
              <w:rPr>
                <w:rFonts w:eastAsia="仿宋_GB2312"/>
                <w:b/>
                <w:bCs/>
                <w:color w:val="auto"/>
                <w:kern w:val="0"/>
                <w:sz w:val="24"/>
              </w:rPr>
            </w:pPr>
          </w:p>
        </w:tc>
        <w:tc>
          <w:tcPr>
            <w:tcW w:w="2436" w:type="dxa"/>
            <w:noWrap w:val="0"/>
            <w:vAlign w:val="center"/>
          </w:tcPr>
          <w:p w14:paraId="6F71B131">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县红十字会</w:t>
            </w:r>
          </w:p>
        </w:tc>
        <w:tc>
          <w:tcPr>
            <w:tcW w:w="9484" w:type="dxa"/>
            <w:gridSpan w:val="2"/>
            <w:noWrap w:val="0"/>
            <w:vAlign w:val="top"/>
          </w:tcPr>
          <w:p w14:paraId="05C538F7">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负责依法开展救灾募捐活动，负责接收国内外组织和个人通过红十字会捐助的物资和资金；负责组织红十字会员和志愿者参加医疗防疫并做好相关动员、引导、管理工作；</w:t>
            </w:r>
            <w:r>
              <w:rPr>
                <w:rFonts w:hint="eastAsia" w:ascii="Times New Roman" w:hAnsi="Times New Roman" w:eastAsia="仿宋" w:cs="Times New Roman"/>
                <w:color w:val="auto"/>
                <w:sz w:val="24"/>
                <w:lang w:val="en-US" w:eastAsia="zh-CN"/>
              </w:rPr>
              <w:t>协助</w:t>
            </w:r>
            <w:r>
              <w:rPr>
                <w:rFonts w:ascii="Times New Roman" w:hAnsi="Times New Roman" w:eastAsia="仿宋" w:cs="Times New Roman"/>
                <w:color w:val="auto"/>
                <w:sz w:val="24"/>
                <w:lang w:val="en-US"/>
              </w:rPr>
              <w:t>开展自然灾害预防、避险和自救、互救的知识宣传。</w:t>
            </w:r>
          </w:p>
        </w:tc>
      </w:tr>
      <w:tr w14:paraId="3422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trPr>
        <w:tc>
          <w:tcPr>
            <w:tcW w:w="1140" w:type="dxa"/>
            <w:vMerge w:val="continue"/>
            <w:noWrap w:val="0"/>
            <w:vAlign w:val="top"/>
          </w:tcPr>
          <w:p w14:paraId="4B7529F9">
            <w:pPr>
              <w:widowControl/>
              <w:spacing w:line="400" w:lineRule="exact"/>
              <w:ind w:firstLine="482" w:firstLineChars="200"/>
              <w:textAlignment w:val="center"/>
              <w:rPr>
                <w:rFonts w:eastAsia="仿宋_GB2312"/>
                <w:b/>
                <w:bCs/>
                <w:color w:val="auto"/>
                <w:kern w:val="0"/>
                <w:sz w:val="24"/>
              </w:rPr>
            </w:pPr>
          </w:p>
        </w:tc>
        <w:tc>
          <w:tcPr>
            <w:tcW w:w="2436" w:type="dxa"/>
            <w:noWrap w:val="0"/>
            <w:vAlign w:val="center"/>
          </w:tcPr>
          <w:p w14:paraId="5A1ADD82">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县防震减灾中心</w:t>
            </w:r>
          </w:p>
        </w:tc>
        <w:tc>
          <w:tcPr>
            <w:tcW w:w="9484" w:type="dxa"/>
            <w:gridSpan w:val="2"/>
            <w:noWrap w:val="0"/>
            <w:vAlign w:val="top"/>
          </w:tcPr>
          <w:p w14:paraId="29ADE546">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协助县应急局做好市抗震救灾指挥部日常工作；协助县应急局开展抗震救灾应急处置和救援工作；配合上级防震减灾部门开展地震灾害损失评估、地震烈度评定，承担地震监测预报、地震速报、震情趋势判定、地震灾害调查等工作；开展震后地震科学考察，参与制定灾区重建规划；组织开展地震知识宣传。</w:t>
            </w:r>
          </w:p>
        </w:tc>
      </w:tr>
      <w:tr w14:paraId="6D92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140" w:type="dxa"/>
            <w:vMerge w:val="restart"/>
            <w:noWrap w:val="0"/>
            <w:vAlign w:val="center"/>
          </w:tcPr>
          <w:p w14:paraId="408186BB">
            <w:pPr>
              <w:spacing w:line="400" w:lineRule="exact"/>
              <w:jc w:val="center"/>
              <w:textAlignment w:val="center"/>
              <w:rPr>
                <w:rFonts w:eastAsia="仿宋_GB2312"/>
                <w:b/>
                <w:bCs/>
                <w:color w:val="auto"/>
                <w:kern w:val="0"/>
                <w:sz w:val="24"/>
              </w:rPr>
            </w:pPr>
            <w:r>
              <w:rPr>
                <w:rFonts w:hint="eastAsia" w:eastAsia="仿宋_GB2312"/>
                <w:b/>
                <w:bCs/>
                <w:color w:val="auto"/>
                <w:kern w:val="0"/>
                <w:sz w:val="24"/>
              </w:rPr>
              <w:t>成员单位</w:t>
            </w:r>
          </w:p>
        </w:tc>
        <w:tc>
          <w:tcPr>
            <w:tcW w:w="2436" w:type="dxa"/>
            <w:noWrap w:val="0"/>
            <w:vAlign w:val="center"/>
          </w:tcPr>
          <w:p w14:paraId="2A7943DC">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国家金融监督管理总局河曲监管支局</w:t>
            </w:r>
          </w:p>
        </w:tc>
        <w:tc>
          <w:tcPr>
            <w:tcW w:w="9484" w:type="dxa"/>
            <w:gridSpan w:val="2"/>
            <w:noWrap w:val="0"/>
            <w:vAlign w:val="top"/>
          </w:tcPr>
          <w:p w14:paraId="6BD88DB8">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指导银行保险机构快速恢复营业，组织、协调。督促、指导承保保险公司及时开展对投保的伤亡人员和受损财产的查勘和理赔工作；负责指导银行机构加强金库等安保重点部位和营业场所等重点区域的警戒，确保资金安全。</w:t>
            </w:r>
          </w:p>
        </w:tc>
      </w:tr>
      <w:tr w14:paraId="7DE9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rPr>
        <w:tc>
          <w:tcPr>
            <w:tcW w:w="1140" w:type="dxa"/>
            <w:vMerge w:val="continue"/>
            <w:noWrap w:val="0"/>
            <w:vAlign w:val="top"/>
          </w:tcPr>
          <w:p w14:paraId="7ED25BEB">
            <w:pPr>
              <w:spacing w:line="400" w:lineRule="exact"/>
              <w:textAlignment w:val="center"/>
              <w:rPr>
                <w:rFonts w:eastAsia="仿宋_GB2312"/>
                <w:b/>
                <w:bCs/>
                <w:color w:val="auto"/>
                <w:kern w:val="0"/>
                <w:sz w:val="24"/>
              </w:rPr>
            </w:pPr>
          </w:p>
        </w:tc>
        <w:tc>
          <w:tcPr>
            <w:tcW w:w="2436" w:type="dxa"/>
            <w:noWrap w:val="0"/>
            <w:vAlign w:val="center"/>
          </w:tcPr>
          <w:p w14:paraId="67DEA3B4">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县人武部</w:t>
            </w:r>
          </w:p>
        </w:tc>
        <w:tc>
          <w:tcPr>
            <w:tcW w:w="9484" w:type="dxa"/>
            <w:gridSpan w:val="2"/>
            <w:noWrap w:val="0"/>
            <w:vAlign w:val="top"/>
          </w:tcPr>
          <w:p w14:paraId="77400D3B">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负责组织指挥救援队伍参加抢险救灾工作；负责组织民兵，协调驻军参加抢险救援工作。负责重灾区或重要场所人员予以抢救或特种</w:t>
            </w:r>
            <w:r>
              <w:rPr>
                <w:rFonts w:hint="eastAsia" w:ascii="Times New Roman" w:hAnsi="Times New Roman" w:eastAsia="仿宋" w:cs="Times New Roman"/>
                <w:color w:val="auto"/>
                <w:sz w:val="24"/>
                <w:lang w:val="en-US"/>
              </w:rPr>
              <w:t>抢险</w:t>
            </w:r>
            <w:r>
              <w:rPr>
                <w:rFonts w:ascii="Times New Roman" w:hAnsi="Times New Roman" w:eastAsia="仿宋" w:cs="Times New Roman"/>
                <w:color w:val="auto"/>
                <w:sz w:val="24"/>
                <w:lang w:val="en-US"/>
              </w:rPr>
              <w:t>；负责要害部门和重要目标的警戒，调动地震灾害紧急救援队伍参与抢险救援。</w:t>
            </w:r>
          </w:p>
        </w:tc>
      </w:tr>
      <w:tr w14:paraId="6D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1140" w:type="dxa"/>
            <w:vMerge w:val="continue"/>
            <w:noWrap w:val="0"/>
            <w:vAlign w:val="top"/>
          </w:tcPr>
          <w:p w14:paraId="384A688B">
            <w:pPr>
              <w:spacing w:line="400" w:lineRule="exact"/>
              <w:textAlignment w:val="center"/>
              <w:rPr>
                <w:rFonts w:eastAsia="仿宋_GB2312"/>
                <w:b/>
                <w:bCs/>
                <w:color w:val="auto"/>
                <w:kern w:val="0"/>
                <w:sz w:val="24"/>
              </w:rPr>
            </w:pPr>
          </w:p>
        </w:tc>
        <w:tc>
          <w:tcPr>
            <w:tcW w:w="2436" w:type="dxa"/>
            <w:noWrap w:val="0"/>
            <w:vAlign w:val="center"/>
          </w:tcPr>
          <w:p w14:paraId="7ED930ED">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武警中队</w:t>
            </w:r>
          </w:p>
        </w:tc>
        <w:tc>
          <w:tcPr>
            <w:tcW w:w="9484" w:type="dxa"/>
            <w:gridSpan w:val="2"/>
            <w:noWrap w:val="0"/>
            <w:vAlign w:val="top"/>
          </w:tcPr>
          <w:p w14:paraId="3644385E">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负责调动所属部队对重灾区或重要场所人员抢救或特种抢险；负责机关、金融、仓储、救灾物品等要害部门和重要目标的警戒。</w:t>
            </w:r>
          </w:p>
        </w:tc>
      </w:tr>
      <w:tr w14:paraId="3797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140" w:type="dxa"/>
            <w:vMerge w:val="continue"/>
            <w:noWrap w:val="0"/>
            <w:vAlign w:val="top"/>
          </w:tcPr>
          <w:p w14:paraId="503E555F">
            <w:pPr>
              <w:spacing w:line="400" w:lineRule="exact"/>
              <w:textAlignment w:val="center"/>
              <w:rPr>
                <w:rFonts w:eastAsia="仿宋_GB2312"/>
                <w:b/>
                <w:bCs/>
                <w:color w:val="auto"/>
                <w:kern w:val="0"/>
                <w:sz w:val="24"/>
              </w:rPr>
            </w:pPr>
          </w:p>
        </w:tc>
        <w:tc>
          <w:tcPr>
            <w:tcW w:w="2436" w:type="dxa"/>
            <w:noWrap w:val="0"/>
            <w:vAlign w:val="center"/>
          </w:tcPr>
          <w:p w14:paraId="489ACB3D">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县消防大队</w:t>
            </w:r>
          </w:p>
        </w:tc>
        <w:tc>
          <w:tcPr>
            <w:tcW w:w="9484" w:type="dxa"/>
            <w:gridSpan w:val="2"/>
            <w:noWrap w:val="0"/>
            <w:vAlign w:val="top"/>
          </w:tcPr>
          <w:p w14:paraId="0A2E63B2">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负责调动所属消防队伍参与抢险救灾，做好灾区消防监督管理和火灾防控。</w:t>
            </w:r>
          </w:p>
        </w:tc>
      </w:tr>
      <w:tr w14:paraId="0B97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1140" w:type="dxa"/>
            <w:vMerge w:val="continue"/>
            <w:noWrap w:val="0"/>
            <w:vAlign w:val="center"/>
          </w:tcPr>
          <w:p w14:paraId="7FBD3AC7">
            <w:pPr>
              <w:widowControl/>
              <w:spacing w:line="400" w:lineRule="exact"/>
              <w:textAlignment w:val="center"/>
              <w:rPr>
                <w:rFonts w:hint="eastAsia" w:eastAsia="仿宋_GB2312"/>
                <w:b/>
                <w:bCs/>
                <w:color w:val="auto"/>
                <w:kern w:val="0"/>
                <w:sz w:val="24"/>
              </w:rPr>
            </w:pPr>
          </w:p>
        </w:tc>
        <w:tc>
          <w:tcPr>
            <w:tcW w:w="2436" w:type="dxa"/>
            <w:noWrap w:val="0"/>
            <w:vAlign w:val="center"/>
          </w:tcPr>
          <w:p w14:paraId="29A773C3">
            <w:pPr>
              <w:pStyle w:val="14"/>
              <w:spacing w:before="121"/>
              <w:ind w:right="6"/>
              <w:jc w:val="center"/>
              <w:rPr>
                <w:rFonts w:hint="eastAsia" w:ascii="Times New Roman" w:hAnsi="Times New Roman" w:eastAsia="仿宋" w:cs="Times New Roman"/>
                <w:color w:val="auto"/>
                <w:sz w:val="24"/>
                <w:lang w:val="en-US"/>
              </w:rPr>
            </w:pPr>
            <w:r>
              <w:rPr>
                <w:rFonts w:hint="eastAsia" w:ascii="Times New Roman" w:hAnsi="Times New Roman" w:eastAsia="仿宋" w:cs="Times New Roman"/>
                <w:color w:val="auto"/>
                <w:sz w:val="24"/>
                <w:lang w:val="en-US"/>
              </w:rPr>
              <w:t>县供电公司</w:t>
            </w:r>
          </w:p>
        </w:tc>
        <w:tc>
          <w:tcPr>
            <w:tcW w:w="9484" w:type="dxa"/>
            <w:gridSpan w:val="2"/>
            <w:noWrap w:val="0"/>
            <w:vAlign w:val="top"/>
          </w:tcPr>
          <w:p w14:paraId="79DB624A">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根据供用电协议中产权划分界限，负责辖区内受灾地区损毁供电设备和设施的修复工作，保障抗震救灾指挥部应急用电。</w:t>
            </w:r>
          </w:p>
        </w:tc>
      </w:tr>
      <w:tr w14:paraId="4D60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1140" w:type="dxa"/>
            <w:vMerge w:val="continue"/>
            <w:noWrap w:val="0"/>
            <w:vAlign w:val="top"/>
          </w:tcPr>
          <w:p w14:paraId="4BF671C6">
            <w:pPr>
              <w:widowControl/>
              <w:spacing w:line="400" w:lineRule="exact"/>
              <w:ind w:firstLine="482" w:firstLineChars="200"/>
              <w:textAlignment w:val="center"/>
              <w:rPr>
                <w:rFonts w:eastAsia="仿宋_GB2312"/>
                <w:b/>
                <w:bCs/>
                <w:color w:val="auto"/>
                <w:kern w:val="0"/>
                <w:sz w:val="24"/>
              </w:rPr>
            </w:pPr>
          </w:p>
        </w:tc>
        <w:tc>
          <w:tcPr>
            <w:tcW w:w="2436" w:type="dxa"/>
            <w:noWrap w:val="0"/>
            <w:vAlign w:val="center"/>
          </w:tcPr>
          <w:p w14:paraId="2BCA0B1C">
            <w:pPr>
              <w:pStyle w:val="14"/>
              <w:spacing w:before="121"/>
              <w:ind w:right="6"/>
              <w:jc w:val="center"/>
              <w:rPr>
                <w:rFonts w:hint="eastAsia" w:ascii="Times New Roman" w:hAnsi="Times New Roman" w:eastAsia="仿宋" w:cs="Times New Roman"/>
                <w:color w:val="auto"/>
                <w:sz w:val="24"/>
                <w:lang w:val="en-US"/>
              </w:rPr>
            </w:pPr>
            <w:r>
              <w:rPr>
                <w:rFonts w:ascii="Times New Roman" w:hAnsi="Times New Roman" w:eastAsia="仿宋" w:cs="Times New Roman"/>
                <w:color w:val="auto"/>
                <w:sz w:val="24"/>
                <w:lang w:val="en-US"/>
              </w:rPr>
              <w:t>移动、联通、电信公司</w:t>
            </w:r>
          </w:p>
        </w:tc>
        <w:tc>
          <w:tcPr>
            <w:tcW w:w="9484" w:type="dxa"/>
            <w:gridSpan w:val="2"/>
            <w:noWrap w:val="0"/>
            <w:vAlign w:val="top"/>
          </w:tcPr>
          <w:p w14:paraId="0C120F0F">
            <w:pPr>
              <w:pStyle w:val="14"/>
              <w:keepNext w:val="0"/>
              <w:keepLines w:val="0"/>
              <w:pageBreakBefore w:val="0"/>
              <w:widowControl w:val="0"/>
              <w:kinsoku/>
              <w:wordWrap/>
              <w:overflowPunct/>
              <w:topLinePunct w:val="0"/>
              <w:autoSpaceDE/>
              <w:autoSpaceDN/>
              <w:bidi w:val="0"/>
              <w:adjustRightInd/>
              <w:snapToGrid/>
              <w:spacing w:line="440" w:lineRule="exact"/>
              <w:ind w:right="6" w:firstLine="480" w:firstLineChars="200"/>
              <w:textAlignment w:val="auto"/>
              <w:rPr>
                <w:rFonts w:ascii="Times New Roman" w:hAnsi="Times New Roman" w:eastAsia="仿宋" w:cs="Times New Roman"/>
                <w:color w:val="auto"/>
                <w:sz w:val="24"/>
                <w:lang w:val="en-US"/>
              </w:rPr>
            </w:pPr>
            <w:r>
              <w:rPr>
                <w:rFonts w:ascii="Times New Roman" w:hAnsi="Times New Roman" w:eastAsia="仿宋" w:cs="Times New Roman"/>
                <w:color w:val="auto"/>
                <w:sz w:val="24"/>
                <w:lang w:val="en-US"/>
              </w:rPr>
              <w:t>负责恢复通信设施，做好通信保障应急工作。</w:t>
            </w:r>
          </w:p>
        </w:tc>
      </w:tr>
    </w:tbl>
    <w:p w14:paraId="659C6836">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bookmarkStart w:id="0" w:name="_GoBack"/>
      <w:bookmarkEnd w:id="0"/>
    </w:p>
    <w:sectPr>
      <w:headerReference r:id="rId3" w:type="default"/>
      <w:footerReference r:id="rId5" w:type="default"/>
      <w:headerReference r:id="rId4" w:type="even"/>
      <w:footerReference r:id="rId6" w:type="even"/>
      <w:pgSz w:w="16838" w:h="11906" w:orient="landscape"/>
      <w:pgMar w:top="1587" w:right="2098" w:bottom="1474" w:left="1984" w:header="851" w:footer="158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5C7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39730">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5739730">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D95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640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50B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YTk0Yjk5MzU2MDE4MDhkMDVlODgzMmUzNzZkZjcifQ=="/>
  </w:docVars>
  <w:rsids>
    <w:rsidRoot w:val="1A270AB3"/>
    <w:rsid w:val="00781C31"/>
    <w:rsid w:val="024A5185"/>
    <w:rsid w:val="03CA64C9"/>
    <w:rsid w:val="08351CD8"/>
    <w:rsid w:val="092979FF"/>
    <w:rsid w:val="100E6534"/>
    <w:rsid w:val="16362E6B"/>
    <w:rsid w:val="1A270AB3"/>
    <w:rsid w:val="2121099F"/>
    <w:rsid w:val="22F655C5"/>
    <w:rsid w:val="29021F4F"/>
    <w:rsid w:val="2AC64107"/>
    <w:rsid w:val="31B12666"/>
    <w:rsid w:val="37E500D8"/>
    <w:rsid w:val="39621D19"/>
    <w:rsid w:val="3C883C3F"/>
    <w:rsid w:val="3D1D6B7F"/>
    <w:rsid w:val="3DA0A21E"/>
    <w:rsid w:val="4146077A"/>
    <w:rsid w:val="472B7131"/>
    <w:rsid w:val="53067355"/>
    <w:rsid w:val="57BD9351"/>
    <w:rsid w:val="5F7E7C7C"/>
    <w:rsid w:val="5F9988A6"/>
    <w:rsid w:val="5FEC366F"/>
    <w:rsid w:val="63583164"/>
    <w:rsid w:val="63C62250"/>
    <w:rsid w:val="6665ABCC"/>
    <w:rsid w:val="689F647C"/>
    <w:rsid w:val="6DEB5DCF"/>
    <w:rsid w:val="6DFDFC5C"/>
    <w:rsid w:val="6EDEE4E6"/>
    <w:rsid w:val="6F53339C"/>
    <w:rsid w:val="6F976432"/>
    <w:rsid w:val="70EDDB93"/>
    <w:rsid w:val="716E8610"/>
    <w:rsid w:val="73FD7235"/>
    <w:rsid w:val="75FF837B"/>
    <w:rsid w:val="779F422C"/>
    <w:rsid w:val="77FFAE63"/>
    <w:rsid w:val="7BE654F5"/>
    <w:rsid w:val="7CF11235"/>
    <w:rsid w:val="7DFCA690"/>
    <w:rsid w:val="7FEB569D"/>
    <w:rsid w:val="7FFFE98F"/>
    <w:rsid w:val="90AD4274"/>
    <w:rsid w:val="9FFA545C"/>
    <w:rsid w:val="ABE7366B"/>
    <w:rsid w:val="BAAC2341"/>
    <w:rsid w:val="BBBFDFFE"/>
    <w:rsid w:val="BDD6434D"/>
    <w:rsid w:val="BE69A671"/>
    <w:rsid w:val="BEFB5487"/>
    <w:rsid w:val="CE878BE0"/>
    <w:rsid w:val="D56E96E9"/>
    <w:rsid w:val="DF07A329"/>
    <w:rsid w:val="DF9EA8BC"/>
    <w:rsid w:val="DFDF0DCD"/>
    <w:rsid w:val="E9AF88A1"/>
    <w:rsid w:val="EBF7DD6C"/>
    <w:rsid w:val="EFBF6287"/>
    <w:rsid w:val="EFFF9675"/>
    <w:rsid w:val="F77F6971"/>
    <w:rsid w:val="FDFF0478"/>
    <w:rsid w:val="FEBE2FAF"/>
    <w:rsid w:val="FF1F90AB"/>
    <w:rsid w:val="FF7D4C6C"/>
    <w:rsid w:val="FFBBA8BC"/>
    <w:rsid w:val="FFBFE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lang w:bidi="ar-SA"/>
    </w:rPr>
  </w:style>
  <w:style w:type="paragraph" w:customStyle="1" w:styleId="3">
    <w:name w:val="正文文本缩进1"/>
    <w:basedOn w:val="1"/>
    <w:qFormat/>
    <w:uiPriority w:val="0"/>
    <w:pPr>
      <w:ind w:left="200" w:leftChars="200"/>
    </w:pPr>
    <w:rPr>
      <w:rFonts w:ascii="Calibri" w:hAnsi="Calibri" w:eastAsia="宋体" w:cs="Times New Roman"/>
      <w:lang w:bidi="ar-SA"/>
    </w:r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0">
    <w:name w:val="page number"/>
    <w:basedOn w:val="9"/>
    <w:qFormat/>
    <w:uiPriority w:val="0"/>
  </w:style>
  <w:style w:type="paragraph" w:customStyle="1" w:styleId="11">
    <w:name w:val="正文3"/>
    <w:next w:val="1"/>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正文 New New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5217</Words>
  <Characters>5259</Characters>
  <Lines>0</Lines>
  <Paragraphs>0</Paragraphs>
  <TotalTime>14</TotalTime>
  <ScaleCrop>false</ScaleCrop>
  <LinksUpToDate>false</LinksUpToDate>
  <CharactersWithSpaces>5262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2020-12-02T18:46:00Z</dcterms:created>
  <dc:creator>Administrator</dc:creator>
  <cp:lastModifiedBy>Audery</cp:lastModifiedBy>
  <cp:lastPrinted>2020-12-25T02:34:00Z</cp:lastPrinted>
  <dcterms:modified xsi:type="dcterms:W3CDTF">2024-10-28T08:23:05Z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E8FEAB905C1F4D139DE3015565B06C33_13</vt:lpwstr>
  </property>
</Properties>
</file>