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附件：</w:t>
      </w:r>
    </w:p>
    <w:p>
      <w:pPr>
        <w:pStyle w:val="4"/>
        <w:spacing w:line="200" w:lineRule="exact"/>
        <w:ind w:firstLine="0" w:firstLineChars="0"/>
        <w:rPr>
          <w:rFonts w:ascii="Times New Roman" w:hAnsi="Times New Roman" w:eastAsia="仿宋_GB2312"/>
          <w:sz w:val="30"/>
          <w:szCs w:val="30"/>
        </w:rPr>
      </w:pPr>
    </w:p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sz w:val="44"/>
          <w:szCs w:val="44"/>
        </w:rPr>
        <w:t>第二届忻州市标准化突出贡献奖获奖名单</w:t>
      </w:r>
    </w:p>
    <w:bookmarkEnd w:id="0"/>
    <w:tbl>
      <w:tblPr>
        <w:tblStyle w:val="2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966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奖项等次</w:t>
            </w:r>
          </w:p>
        </w:tc>
        <w:tc>
          <w:tcPr>
            <w:tcW w:w="49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获奖单位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获奖项目（标准）名称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山西五台山沙棘制品有限公司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标准化良好行为企业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山西天宝集团有限公司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定襄车工（市级地标）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山西金瑞高压环件有限公司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风力发电塔架 法兰锻件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（行业标准）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山西晨辉锻压设备制造股份有限公司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锻造操作机技术要求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（企业标准）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忻州市职业技能服务中心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忻州月嫂系列标准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（市级地标）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忻州市杂粮产业协会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“忻州杂粮”产品质量等级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（团体标准）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山西双环重工集团有限公司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法兰锻造企业资源综合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利用通用要求（省级地标）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代州黄酒酿造有限公司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滹源牌代州黄酒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（企业标准）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山西益生元生物科技有限责任公司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糜子高产旱作栽培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技术规程（市级地标）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河曲县四海进通一品农夫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果品开发有限公司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海红果优质高产栽培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技术规程（市级地标）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山西康宇田源农业股份有限公司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甜糯玉米栽培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技术规程（市级地标）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静乐县佳禾园生态种植有限公司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旱地富硒藜麦旱作栽培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技术规程（企业标准）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保德县红源果枣有限公司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红枣有机旱作标准化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示范区（省级示范区）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五台县原生态功能农业协会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五台豆腐/豆腐丸子制作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技术规程（团体标准）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三等奖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山西莲芯硒美农业科技开发有限公司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富硒小米（企业标准）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09F1"/>
    <w:rsid w:val="7FC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_6c789be6-c934-4b09-9bf6-5426e8c841e7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2024-09-04T10:58:00Z</dcterms:created>
  <dc:creator>kylin1</dc:creator>
  <cp:lastModifiedBy>kylin1</cp:lastModifiedBy>
  <dcterms:modified xsi:type="dcterms:W3CDTF">2024-09-04T10:59:13Z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55A0C869674493B6E6CCD7667924C3FB</vt:lpwstr>
  </property>
</Properties>
</file>