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jc w:val="center"/>
        <w:rPr>
          <w:rFonts w:eastAsia="仿宋_GB2312"/>
          <w:color w:val="000000"/>
          <w:sz w:val="32"/>
          <w:szCs w:val="32"/>
        </w:rPr>
      </w:pPr>
      <w:r>
        <w:rPr>
          <w:rFonts w:eastAsia="仿宋_GB2312"/>
          <w:color w:val="000000"/>
          <w:sz w:val="32"/>
          <w:szCs w:val="32"/>
        </w:rPr>
        <w:t>忻政办发〔202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rPr>
        <w:t>4</w:t>
      </w:r>
      <w:r>
        <w:rPr>
          <w:rFonts w:eastAsia="仿宋_GB2312"/>
          <w:color w:val="000000"/>
          <w:sz w:val="32"/>
          <w:szCs w:val="32"/>
        </w:rPr>
        <w:t>号</w:t>
      </w:r>
    </w:p>
    <w:p>
      <w:pPr>
        <w:spacing w:line="560" w:lineRule="exact"/>
        <w:ind w:firstLine="640" w:firstLineChars="200"/>
        <w:rPr>
          <w:rFonts w:eastAsia="仿宋_GB2312"/>
          <w:color w:val="000000"/>
          <w:sz w:val="32"/>
          <w:szCs w:val="32"/>
        </w:rPr>
      </w:pPr>
    </w:p>
    <w:p>
      <w:pPr>
        <w:spacing w:line="400" w:lineRule="exact"/>
        <w:ind w:firstLine="640" w:firstLineChars="200"/>
        <w:rPr>
          <w:rFonts w:eastAsia="仿宋_GB2312"/>
          <w:color w:val="000000"/>
          <w:sz w:val="32"/>
          <w:szCs w:val="32"/>
        </w:rPr>
      </w:pPr>
    </w:p>
    <w:p>
      <w:pPr>
        <w:spacing w:line="560" w:lineRule="exact"/>
        <w:jc w:val="center"/>
        <w:rPr>
          <w:rFonts w:eastAsia="方正大标宋简体"/>
          <w:sz w:val="44"/>
          <w:szCs w:val="44"/>
        </w:rPr>
      </w:pPr>
      <w:r>
        <w:rPr>
          <w:rFonts w:eastAsia="方正大标宋简体"/>
          <w:sz w:val="44"/>
          <w:szCs w:val="44"/>
        </w:rPr>
        <w:t>忻州市人民政府办公室</w:t>
      </w:r>
    </w:p>
    <w:p>
      <w:pPr>
        <w:spacing w:line="560" w:lineRule="exact"/>
        <w:jc w:val="center"/>
        <w:rPr>
          <w:rFonts w:hint="eastAsia" w:eastAsia="方正大标宋简体"/>
          <w:sz w:val="44"/>
          <w:szCs w:val="44"/>
        </w:rPr>
      </w:pPr>
      <w:r>
        <w:rPr>
          <w:rFonts w:hint="eastAsia" w:eastAsia="方正大标宋简体"/>
          <w:sz w:val="44"/>
          <w:szCs w:val="44"/>
        </w:rPr>
        <w:t>关于印发忻州市加强新时代水土保持工作</w:t>
      </w:r>
    </w:p>
    <w:p>
      <w:pPr>
        <w:spacing w:line="560" w:lineRule="exact"/>
        <w:jc w:val="center"/>
        <w:rPr>
          <w:rFonts w:hint="eastAsia" w:eastAsia="方正大标宋简体"/>
          <w:sz w:val="44"/>
          <w:szCs w:val="44"/>
        </w:rPr>
      </w:pPr>
      <w:r>
        <w:rPr>
          <w:rFonts w:hint="eastAsia" w:eastAsia="方正大标宋简体"/>
          <w:sz w:val="44"/>
          <w:szCs w:val="44"/>
        </w:rPr>
        <w:t>实施方案的通知</w:t>
      </w:r>
    </w:p>
    <w:p>
      <w:pPr>
        <w:overflowPunct w:val="0"/>
        <w:spacing w:line="560" w:lineRule="exact"/>
        <w:rPr>
          <w:rFonts w:eastAsia="方正小标宋简体"/>
          <w:sz w:val="44"/>
          <w:szCs w:val="44"/>
        </w:rPr>
      </w:pPr>
    </w:p>
    <w:p>
      <w:pPr>
        <w:overflowPunct w:val="0"/>
        <w:spacing w:line="560" w:lineRule="exact"/>
        <w:rPr>
          <w:rFonts w:eastAsia="仿宋_GB2312"/>
          <w:sz w:val="32"/>
          <w:szCs w:val="32"/>
        </w:rPr>
      </w:pPr>
      <w:r>
        <w:rPr>
          <w:rFonts w:eastAsia="仿宋_GB2312"/>
          <w:sz w:val="32"/>
          <w:szCs w:val="32"/>
        </w:rPr>
        <w:t>各县（市、区）人民政府，五台山风景名胜区管委会，市人民政府各委、办、局：</w:t>
      </w:r>
    </w:p>
    <w:p>
      <w:pPr>
        <w:overflowPunct w:val="0"/>
        <w:spacing w:line="560" w:lineRule="exact"/>
        <w:ind w:firstLine="640" w:firstLineChars="200"/>
        <w:rPr>
          <w:rFonts w:eastAsia="仿宋_GB2312"/>
          <w:sz w:val="32"/>
          <w:szCs w:val="32"/>
        </w:rPr>
      </w:pPr>
      <w:r>
        <w:rPr>
          <w:rFonts w:eastAsia="仿宋_GB2312"/>
          <w:sz w:val="32"/>
          <w:szCs w:val="32"/>
        </w:rPr>
        <w:t>《忻州市加强新时代水土保持工作实施方案》已经市委、市政府同意，现印发给你们，请认真贯彻执行。</w:t>
      </w:r>
    </w:p>
    <w:p>
      <w:pPr>
        <w:overflowPunct w:val="0"/>
        <w:spacing w:line="560" w:lineRule="exact"/>
        <w:ind w:firstLine="640" w:firstLineChars="200"/>
        <w:rPr>
          <w:rFonts w:eastAsia="仿宋_GB2312"/>
          <w:sz w:val="32"/>
          <w:szCs w:val="32"/>
        </w:rPr>
      </w:pPr>
    </w:p>
    <w:p>
      <w:pPr>
        <w:overflowPunct w:val="0"/>
        <w:spacing w:line="800" w:lineRule="exact"/>
        <w:ind w:firstLine="640" w:firstLineChars="200"/>
        <w:rPr>
          <w:rFonts w:eastAsia="仿宋_GB2312"/>
          <w:sz w:val="32"/>
          <w:szCs w:val="32"/>
        </w:rPr>
      </w:pPr>
    </w:p>
    <w:p>
      <w:pPr>
        <w:wordWrap w:val="0"/>
        <w:overflowPunct w:val="0"/>
        <w:spacing w:line="560" w:lineRule="exact"/>
        <w:jc w:val="right"/>
        <w:rPr>
          <w:rFonts w:eastAsia="仿宋_GB2312"/>
          <w:sz w:val="32"/>
          <w:szCs w:val="32"/>
        </w:rPr>
      </w:pPr>
      <w:r>
        <w:rPr>
          <w:rFonts w:eastAsia="仿宋_GB2312"/>
          <w:sz w:val="32"/>
          <w:szCs w:val="32"/>
        </w:rPr>
        <w:t>忻州市人民政府办公室</w:t>
      </w:r>
      <w:r>
        <w:rPr>
          <w:rFonts w:hint="eastAsia" w:eastAsia="仿宋_GB2312"/>
          <w:sz w:val="32"/>
          <w:szCs w:val="32"/>
        </w:rPr>
        <w:t xml:space="preserve">     </w:t>
      </w:r>
    </w:p>
    <w:p>
      <w:pPr>
        <w:wordWrap w:val="0"/>
        <w:overflowPunct w:val="0"/>
        <w:spacing w:line="560" w:lineRule="exact"/>
        <w:ind w:firstLine="640" w:firstLineChars="200"/>
        <w:jc w:val="right"/>
        <w:rPr>
          <w:rFonts w:eastAsia="仿宋_GB2312"/>
          <w:sz w:val="32"/>
          <w:szCs w:val="32"/>
        </w:rPr>
      </w:pPr>
      <w:r>
        <w:rPr>
          <w:rFonts w:eastAsia="仿宋_GB2312"/>
          <w:sz w:val="32"/>
          <w:szCs w:val="32"/>
        </w:rPr>
        <w:t>2024年2月</w:t>
      </w:r>
      <w:r>
        <w:rPr>
          <w:rFonts w:hint="eastAsia" w:eastAsia="仿宋_GB2312"/>
          <w:sz w:val="32"/>
          <w:szCs w:val="32"/>
        </w:rPr>
        <w:t>4</w:t>
      </w:r>
      <w:r>
        <w:rPr>
          <w:rFonts w:eastAsia="仿宋_GB2312"/>
          <w:sz w:val="32"/>
          <w:szCs w:val="32"/>
        </w:rPr>
        <w:t>日</w:t>
      </w:r>
      <w:r>
        <w:rPr>
          <w:rFonts w:hint="eastAsia" w:eastAsia="仿宋_GB2312"/>
          <w:sz w:val="32"/>
          <w:szCs w:val="32"/>
        </w:rPr>
        <w:t xml:space="preserve">        </w:t>
      </w:r>
    </w:p>
    <w:p>
      <w:pPr>
        <w:overflowPunct w:val="0"/>
        <w:spacing w:line="560" w:lineRule="exact"/>
        <w:ind w:firstLine="640" w:firstLineChars="200"/>
        <w:rPr>
          <w:rFonts w:eastAsia="仿宋_GB2312"/>
          <w:sz w:val="32"/>
          <w:szCs w:val="32"/>
        </w:rPr>
      </w:pPr>
      <w:r>
        <w:rPr>
          <w:rFonts w:hAnsi="仿宋_GB2312" w:eastAsia="仿宋_GB2312"/>
          <w:sz w:val="32"/>
          <w:szCs w:val="32"/>
        </w:rPr>
        <w:t>（此件公开发布）</w:t>
      </w:r>
    </w:p>
    <w:p>
      <w:pPr>
        <w:overflowPunct w:val="0"/>
        <w:spacing w:line="560" w:lineRule="exact"/>
        <w:rPr>
          <w:rFonts w:eastAsia="方正小标宋简体"/>
          <w:sz w:val="44"/>
          <w:szCs w:val="44"/>
        </w:rPr>
      </w:pPr>
    </w:p>
    <w:p>
      <w:pPr>
        <w:overflowPunct w:val="0"/>
        <w:spacing w:line="560" w:lineRule="exact"/>
        <w:jc w:val="center"/>
        <w:rPr>
          <w:rFonts w:hint="eastAsia" w:ascii="方正大标宋简体" w:eastAsia="方正大标宋简体"/>
          <w:sz w:val="44"/>
          <w:szCs w:val="44"/>
        </w:rPr>
      </w:pPr>
      <w:r>
        <w:rPr>
          <w:rFonts w:hint="eastAsia" w:ascii="方正大标宋简体" w:hAnsi="方正小标宋简体" w:eastAsia="方正大标宋简体"/>
          <w:sz w:val="44"/>
          <w:szCs w:val="44"/>
        </w:rPr>
        <w:t>忻州市加强新时代水土保持工作实施方案</w:t>
      </w:r>
    </w:p>
    <w:p>
      <w:pPr>
        <w:overflowPunct w:val="0"/>
        <w:autoSpaceDE w:val="0"/>
        <w:autoSpaceDN w:val="0"/>
        <w:adjustRightInd w:val="0"/>
        <w:snapToGrid w:val="0"/>
        <w:spacing w:line="560" w:lineRule="exact"/>
        <w:ind w:firstLine="640" w:firstLineChars="200"/>
        <w:textAlignment w:val="baseline"/>
        <w:rPr>
          <w:rFonts w:eastAsia="仿宋_GB2312"/>
          <w:sz w:val="32"/>
          <w:szCs w:val="32"/>
        </w:rPr>
      </w:pPr>
    </w:p>
    <w:p>
      <w:pPr>
        <w:overflowPunct w:val="0"/>
        <w:autoSpaceDE w:val="0"/>
        <w:autoSpaceDN w:val="0"/>
        <w:snapToGrid w:val="0"/>
        <w:spacing w:line="560" w:lineRule="exact"/>
        <w:ind w:firstLine="640" w:firstLineChars="200"/>
        <w:textAlignment w:val="baseline"/>
        <w:rPr>
          <w:rFonts w:eastAsia="仿宋_GB2312"/>
          <w:sz w:val="32"/>
          <w:szCs w:val="32"/>
        </w:rPr>
      </w:pPr>
      <w:r>
        <w:rPr>
          <w:rFonts w:eastAsia="仿宋_GB2312"/>
          <w:sz w:val="32"/>
          <w:szCs w:val="32"/>
        </w:rPr>
        <w:t>为深入贯彻党中央、国务院关于加强新时代水土保持工作的决策部署，按照《山西省人民政府办公厅关于印发山西省加强新时代水土保持工作实施方案的通知》（晋政办发〔2023〕36号）要求，进一步推动全市水土保持高质量发展，现结合我市实际，制定如下实施方案。</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一、总体目标</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eastAsia="仿宋_GB2312"/>
          <w:sz w:val="32"/>
          <w:szCs w:val="32"/>
        </w:rPr>
        <w:t>到2025年，选取1个县（市、区）开展整县推进生态清洁小流域试点，打造10条高质量精品小流域，实施坡耕地综合治理35万亩，开展绿色矿业发展示范区建设，充分发挥典型示范引领作用，水土保持体制机制更加健全，工作体系更加完善，监管效能进一步提升，重点区域水土流失得到有效治理，新增人为水土流失得到有效遏制，水土流失状况得到有效改善，全市水土保持率达到63.56%。到2035年，系统完备、协同高效的水土保持体制机制全面形成，我市黄河流域水土保持高质量发展取得重大成果，重点地区水土流失得到全面治理，人为水土流失得到全面控制，生态系统水土保持功能显著增强，全市水土保持率达到66.22%。</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二、全面加强水土流失预防保护</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（一）加强水土保持空间管控。</w:t>
      </w:r>
      <w:r>
        <w:rPr>
          <w:rFonts w:eastAsia="仿宋_GB2312"/>
          <w:sz w:val="32"/>
          <w:szCs w:val="32"/>
        </w:rPr>
        <w:t>落实水土保持空间管控制度。对水土流失重点预防区、重点治理区和水土流失严重、生态脆弱区，实行差别化预防保护治理措施。将四河源头区、重要水源地等水土保持生态功能重要区域和水土流失敏感脆弱区域，适时纳入生态保护红线，严格禁止开发性、生产性建设活动，在符合现行法律法规前提下，除国家重大战略项目外，仅允许对生态功能不造成破坏的有限人为活动，严格水土保持监督。</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（二）抓好人为水土流失源头管控。</w:t>
      </w:r>
      <w:r>
        <w:rPr>
          <w:rFonts w:eastAsia="仿宋_GB2312"/>
          <w:sz w:val="32"/>
          <w:szCs w:val="32"/>
        </w:rPr>
        <w:t>加强对崩塌、滑坡危险区和泥石流易发区的监管，依法禁止在该区从事取土、挖砂、采石等可能造成水土流失的活动。在公路雨雪天气应急处置工作中大力提倡使用环保型融雪剂，精准撒布、严格控量；积极推进融雪新技术、新材料应用。有关规划涉及基础设施建设、矿产资源开发、城镇建设、农林开发、土地整理、公共服务设施建设等内容，在实施过程中可能造成水土流失的，应提出水土流失预防和治理的对策和措施，并征求同级水行政主管部门的意见。</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（三）加大重要生态功能区预防保护。</w:t>
      </w:r>
      <w:r>
        <w:rPr>
          <w:rFonts w:eastAsia="仿宋_GB2312"/>
          <w:sz w:val="32"/>
          <w:szCs w:val="32"/>
        </w:rPr>
        <w:t>以黄土高原丘陵沟壑水土保持生态功能区为重点，加快实施黄土高原水土流失综合治理、黄河重点生态区矿山生态修复工程，全面推进“两山四河一流域”生态保护与修复。以4处省级以上自然保护区、2大省直林区、3大草原草甸为重点，大力开展封育保护，加强原生林草植被和生物多样性保护，提升水源涵养能力。对暂不具备水土流失治理条件的裸露基岩区域和因保护生态不宜开发利用区域，加大保护力度，促进生态自然修复。</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（四）巩固提升农林生态系统水土保持功能。</w:t>
      </w:r>
      <w:r>
        <w:rPr>
          <w:rFonts w:eastAsia="仿宋_GB2312"/>
          <w:spacing w:val="5"/>
          <w:sz w:val="32"/>
          <w:szCs w:val="32"/>
          <w:shd w:val="clear" w:color="auto" w:fill="FFFFFF"/>
        </w:rPr>
        <w:t>把巩固提升森林、草原生态系统质量和稳定性作为水土流失预防保护的重点，严禁违法违规开垦，加强天然林和草原保护修复，落实草原禁牧休牧和草畜平衡制度，</w:t>
      </w:r>
      <w:r>
        <w:rPr>
          <w:rFonts w:eastAsia="仿宋_GB2312"/>
          <w:sz w:val="32"/>
          <w:szCs w:val="32"/>
        </w:rPr>
        <w:t>开展森林、草原生态系统水土流失状况的监测评估，</w:t>
      </w:r>
      <w:r>
        <w:rPr>
          <w:rFonts w:eastAsia="仿宋_GB2312"/>
          <w:spacing w:val="5"/>
          <w:sz w:val="32"/>
          <w:szCs w:val="32"/>
          <w:shd w:val="clear" w:color="auto" w:fill="FFFFFF"/>
        </w:rPr>
        <w:t>充分发挥林草水土保持功能，</w:t>
      </w:r>
      <w:r>
        <w:rPr>
          <w:rFonts w:eastAsia="仿宋_GB2312"/>
          <w:sz w:val="32"/>
          <w:szCs w:val="32"/>
        </w:rPr>
        <w:t>提升森林、草原生态系统质量和稳定性。持续推进高标准农田建设，完善农田防护林网和灌溉排水体系，健全耕地休耕轮作制度，提高耕地质量，保护农田生态系统，提高农田土壤蓄水保土能力。</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三、依法严格生产建设活动水土保持监管</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（五）分区分类精准监管。</w:t>
      </w:r>
      <w:r>
        <w:rPr>
          <w:rFonts w:eastAsia="仿宋_GB2312"/>
          <w:sz w:val="32"/>
          <w:szCs w:val="32"/>
        </w:rPr>
        <w:t>依法落实生产建设项目水土保持方案制度，按照不同区域不同行业水土保持方案审查审批技术要点和监管要求，加强事前事中事后监管，依法征收水土保持补偿费，构建全链条全流程监管体系。按照农林开发等生产建设活动水土流失防治标准，严格开展水土保持监管。开展水土流失危害调查和鉴定评估工作，落实生态环境损害赔偿制度，加大对造成水土流失的生态破坏行为的惩治力度。</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（六）多措并举高效监管。</w:t>
      </w:r>
      <w:r>
        <w:rPr>
          <w:rFonts w:eastAsia="仿宋_GB2312"/>
          <w:sz w:val="32"/>
          <w:szCs w:val="32"/>
        </w:rPr>
        <w:t>全面深化水土保持“放管服”改革，严格实行行政许可事项清单管理，持续推进水土保持审批服务标准化、规范化、便利化，不断提高审批服务质量和效能。以“互联网+监管”为抓手，强化水土保持遥感监管，积极推行以远程监管、移动监管、预警防控为特征的非现场监管，全面监控、及时发现、精准判别人为水土流失风险，提高水土保持监管精准化、智能化水平。依托政务服务平台，健全监管信息共享、违法线索互联等机制。</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（七）多方联动协同监管。</w:t>
      </w:r>
      <w:r>
        <w:rPr>
          <w:rFonts w:eastAsia="仿宋_GB2312"/>
          <w:sz w:val="32"/>
          <w:szCs w:val="32"/>
        </w:rPr>
        <w:t>建立生产建设项目水土保持监管清单制度，各主管部门审批、核准、备案的生产建设项目全部纳入监管清单。水利部门要发挥水土保持监管的牵头协调作用，各要主管部门加强对本行业生产建设项目的监管，督促生产建设单位自觉履行水土保持法定职责。进一步完善水行政执法与刑事司法衔接、与检察公益诉讼协作机制，畅通案件通报移送渠道，加强跨部门协同监管和联合执法，查处典型违法行为，加大水土保持监管和执法力度。健全水土保持监管履职逐级督查机制，加强与纪检监察机关沟通，及时将发现的党员干部和公职人员涉嫌违纪违法问题线索移送纪检监察机关处理。</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（八）全面实施信用监管。</w:t>
      </w:r>
      <w:r>
        <w:rPr>
          <w:rFonts w:eastAsia="仿宋_GB2312"/>
          <w:sz w:val="32"/>
          <w:szCs w:val="32"/>
        </w:rPr>
        <w:t>常态化开展水土保持信用评价，落实水土保持信用监管“重点关注名单”和“黑名单”制度，严格评价标准，规范认定程序，公开认定结果，接受社会监督。强化信用评价结果共享运用，实行信用分级分类监管和激励惩戒制度，引导生产建设项目水土保持参建单位自觉履行水土流失防治责任，主动接受行业主管部门的监管和指导。</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（九）压实生产建设单位责任。</w:t>
      </w:r>
      <w:r>
        <w:rPr>
          <w:rFonts w:eastAsia="仿宋_GB2312"/>
          <w:sz w:val="32"/>
          <w:szCs w:val="32"/>
        </w:rPr>
        <w:t>严格落实水土保持“三同时”制度，大力推行绿色设计、绿色施工，建设绿色工程。未编制水土保持方案或者水土保持方案未经批准的生产建设项目不得开工建设。主体工程要多方案论证，严格控制耕地占用，减少弃土弃渣，建设中严格控制地表扰动，全面落实表土资源保护和弃渣综合利用，坚决杜绝滥采乱挖、乱堆乱弃，最大限度减少水土流失。</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四、加快推进水土流失综合治理</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（十）全面推动小流域综合治理提质增效。</w:t>
      </w:r>
      <w:r>
        <w:rPr>
          <w:rFonts w:eastAsia="仿宋_GB2312"/>
          <w:sz w:val="32"/>
          <w:szCs w:val="32"/>
        </w:rPr>
        <w:t>统筹生产生活生态，以黄河多沙粗沙区、太行山区2个国家级水土流失重点治理区为重点，全面开展小流域综合治理。各地要将小流域综合治理纳入经济社会发展规划和乡村振兴规划，建立统筹协调机制，推广拓展“整沟治理”，整沟、整村、整乡、整县一体化推进。以水系、村庄和城镇周边为重点，山水林田路统一规划，治山、治水、治污协同推进，选取1个县（市、区）开展生态清洁小流域整县推进试点，建设10条高质量精品小流域，打造一批具有忻州特色、示范作用明显的生态清洁小流域样板。</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（十一）持续推进坡耕地水土流失综合治理。</w:t>
      </w:r>
      <w:r>
        <w:rPr>
          <w:rFonts w:eastAsia="仿宋_GB2312"/>
          <w:sz w:val="32"/>
          <w:szCs w:val="32"/>
        </w:rPr>
        <w:t>聚焦耕地保护、粮食安全、面源污染防治，持续推进坡耕地水土流失综合治理，“十四五”期间实施坡耕地综合治理35万亩。将缓坡耕地水土流失治理与高标准农田建设统筹规划、同步实施，因地制宜建设高标准梯田。推进黄土高原旱作梯田建设，加强雨水集蓄利用，提高建设标准和质量，发展旱作农业。</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（十二）加快推进泥沙集中来源区水土流失综合治理。</w:t>
      </w:r>
      <w:r>
        <w:rPr>
          <w:rFonts w:eastAsia="仿宋_GB2312"/>
          <w:spacing w:val="5"/>
          <w:sz w:val="32"/>
          <w:szCs w:val="32"/>
          <w:shd w:val="clear" w:color="auto" w:fill="FFFFFF"/>
        </w:rPr>
        <w:t>以减少河流、湖泊、水库泥沙为重点，在河流沿岸，湖泊、水库周边等适宜区域，科学开展植树造林及区域生态修复，建设植物缓冲带，阻拦泥沙，净化水质。在河流、湖泊、水库管理范围内，禁止私采滥挖及过度开采，禁止将河道滩地作为永久基本农田或者占补平衡用地。突出抓好黄河多沙粗沙区特别是粗泥沙集中来源区综合治理，</w:t>
      </w:r>
      <w:r>
        <w:rPr>
          <w:rFonts w:eastAsia="仿宋_GB2312"/>
          <w:sz w:val="32"/>
          <w:szCs w:val="32"/>
        </w:rPr>
        <w:t>“十四五”期间建设安全可靠、配套设施齐全、运行管护到位的高标准淤地坝170座以上，加快病险淤地坝除险加固和老旧淤地坝提升改造，保护和合理利用水土资源。</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五、充分发挥水土保持功能</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（十三）厚植生态底色。</w:t>
      </w:r>
      <w:r>
        <w:rPr>
          <w:rFonts w:eastAsia="仿宋_GB2312"/>
          <w:sz w:val="32"/>
          <w:szCs w:val="32"/>
        </w:rPr>
        <w:t>围绕“太行、吕梁”两山、“汾河、滹沱河、桑干河、大清河”四河，加强生态保护和修复，加强水土流失治理，建设生态屏障，打造绿色生态廊道。对河东、宁武两大煤田等能源富聚区新建和历史遗留矿山，统筹实施水土流失治理、土壤重构、植被修复重建，基本完成黄河流域重点地区历史遗留矿山生态修复治理，全市其它大中型矿山和小型金属矿山基本建成市级绿色矿山。</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（十四）助力乡村振兴。</w:t>
      </w:r>
      <w:r>
        <w:rPr>
          <w:rFonts w:eastAsia="仿宋_GB2312"/>
          <w:sz w:val="32"/>
          <w:szCs w:val="32"/>
        </w:rPr>
        <w:t>贯彻城乡融合理念，统筹城乡发展空间，治山治水治穷致富一体谋划，在乡村振兴中发挥水土保持优势，以产业兴旺、生态宜居为目标，紧密结合当地自然条件和经济发展布局，大力发展兼具生态效益和经济效益的经果林，建设精品小流域，持续增加农民收入，改善乡村人居环境，助推美丽乡村建设。</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（十五）助推生态旅游。</w:t>
      </w:r>
      <w:r>
        <w:rPr>
          <w:rFonts w:eastAsia="仿宋_GB2312"/>
          <w:sz w:val="32"/>
          <w:szCs w:val="32"/>
        </w:rPr>
        <w:t>围绕“黄河、长城、太行”三大文旅板块，以旅游公路为主线，建设绿色生态廊道；推进景区绿色环保行动，完善生态旅游设施，打造生态旅游品牌，发展森林康养产业，拓展水土保持生态产品价值实现路径，推动生态、文化、旅游融合发展。</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（十六）推进城市水保。</w:t>
      </w:r>
      <w:r>
        <w:rPr>
          <w:rFonts w:eastAsia="仿宋_GB2312"/>
          <w:sz w:val="32"/>
          <w:szCs w:val="32"/>
        </w:rPr>
        <w:t>围绕“一群两区三圈”城乡区域发展新布局，大力开展城市水保建设，强化山体、山林、水体、湿地保护，统筹保土、蓄水和美化绿化，结合城市湿地、公园绿地建设，打造“300米见绿、500米见园”街头绿地和小游园，联通市内外绿地，修复河湖水系和城市山体，建设海绵城市，改善城市山水自然风貌。</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六、大力提升水土保持管理能力和水平</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（十七）健全水土保持规划体系。</w:t>
      </w:r>
      <w:r>
        <w:rPr>
          <w:rFonts w:eastAsia="仿宋_GB2312"/>
          <w:sz w:val="32"/>
          <w:szCs w:val="32"/>
        </w:rPr>
        <w:t>落实《山西省水土保持规划（2016—2030年）》，编制重要流域水土保持规划，推进上下游、左右岸、干支流协同治理。县级人民政府要相应制定本行政区水土保持规划，合理确定水土保持目标，明确水土流失防治布局和任务。强化水土保持规划空间约束力和管控力，各级政府要加强对水土保持规划实施的监督检查，逐级跟踪规划实施情况。</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（十八）完善水土保持建管机制。</w:t>
      </w:r>
      <w:r>
        <w:rPr>
          <w:rFonts w:eastAsia="仿宋_GB2312"/>
          <w:sz w:val="32"/>
          <w:szCs w:val="32"/>
        </w:rPr>
        <w:t>创新水土保持重点治理工程组织实施方式，优化项目审批程序，加快前期工作进度。积极推行以奖代补、以工代赈等建设模式，支持农村集体经济组织、水保专业队、专业合作社等组织参与水土保持工程建设，扶持100个水保生态经济专业户，最大限度调动各方面积极性。按照“谁治理、谁受益”和“谁使用、谁管护”的原则，明确管护主体，落实管护责任，完善持续回报和合理退出机制。</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（十九）强化淤地坝安全运用。</w:t>
      </w:r>
      <w:r>
        <w:rPr>
          <w:rFonts w:eastAsia="仿宋_GB2312"/>
          <w:sz w:val="32"/>
          <w:szCs w:val="32"/>
        </w:rPr>
        <w:t>落实县级政府淤地坝安全运用管理主体责任。划定淤地坝工程管理和保护范围，定期开展质量检查和风险隐患排查，完善淤地坝监管信息平台，健全淤地坝登记销号制度，加强“四预”能力和重要淤地坝安全监测、预警设施建设。探索建立淤地坝运行维护费用政府和受益主体分摊机制。</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（二十）加强水土保持考核。</w:t>
      </w:r>
      <w:r>
        <w:rPr>
          <w:rFonts w:eastAsia="仿宋_GB2312"/>
          <w:sz w:val="32"/>
          <w:szCs w:val="32"/>
        </w:rPr>
        <w:t>落实地方政府水土保持目标责任制和考核奖惩制度，开展水土保持目标责任考核，细化考核工作方案，明确考核指标体系，全面考核县级政府水土保持目标责任完成情况。健全奖惩机制，将考核结果作为领导班子和领导干部综合考核评价及责任追究、自然资源资产离任审计的重要参考，对水土保持工作中成绩显著的单位和个人，树立榜样、弘扬事迹，按照有关规定予以表彰奖励。</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（二十一）深入开展监测评价。</w:t>
      </w:r>
      <w:r>
        <w:rPr>
          <w:rFonts w:eastAsia="仿宋_GB2312"/>
          <w:sz w:val="32"/>
          <w:szCs w:val="32"/>
        </w:rPr>
        <w:t>完善监测站网体系，优化水土保持监测站点布局，推广应用自动化监测设备，分级落实建设投资和运行管护经费。依托国家及省级水土流失监测平台，有序推进水土保持碳汇能力、黄河多沙粗沙区水土流失与入黄泥沙等专项调查，加强监测成果分析评价，为水土保持综合治理、预防监督、动态监测和科学研究提供支撑，充分发挥水土保持监测在生态系统保护成效监测评估中的重要作用。</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（二十二）全面推动科技创新。</w:t>
      </w:r>
      <w:r>
        <w:rPr>
          <w:rFonts w:hAnsi="仿宋_GB2312" w:eastAsia="仿宋_GB2312"/>
          <w:sz w:val="32"/>
          <w:szCs w:val="32"/>
        </w:rPr>
        <w:t>加</w:t>
      </w:r>
      <w:r>
        <w:rPr>
          <w:rFonts w:eastAsia="仿宋_GB2312"/>
          <w:sz w:val="32"/>
          <w:szCs w:val="32"/>
        </w:rPr>
        <w:t>强科技成果转化和技术推广。推进智慧水保建设，健全水土保持数据库，形成“水土保持一张图”；推动遥感、数字孪生、人工智能等技术与水土保持深度融合，逐步实现数字化场景、智慧化模拟、精准化决策。</w:t>
      </w:r>
    </w:p>
    <w:p>
      <w:pPr>
        <w:overflowPunct w:val="0"/>
        <w:autoSpaceDE w:val="0"/>
        <w:autoSpaceDN w:val="0"/>
        <w:snapToGrid w:val="0"/>
        <w:spacing w:line="560" w:lineRule="exact"/>
        <w:ind w:firstLine="640" w:firstLineChars="200"/>
        <w:textAlignment w:val="baseline"/>
        <w:rPr>
          <w:rFonts w:eastAsia="黑体"/>
          <w:sz w:val="32"/>
          <w:szCs w:val="32"/>
        </w:rPr>
      </w:pPr>
      <w:r>
        <w:rPr>
          <w:rFonts w:hAnsi="黑体" w:eastAsia="黑体"/>
          <w:sz w:val="32"/>
          <w:szCs w:val="32"/>
        </w:rPr>
        <w:t>七、保障措施</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（二十三）加强组织领导。</w:t>
      </w:r>
      <w:r>
        <w:rPr>
          <w:rFonts w:eastAsia="仿宋_GB2312"/>
          <w:sz w:val="32"/>
          <w:szCs w:val="32"/>
        </w:rPr>
        <w:t>坚持和加强党对水土保持工作的全面领导，落实省负总责、市县乡抓落实的工作机制。各级党委和政府要切实负起责任，将水土保持工作纳入经济社会发展全局，明确任务，细化措施，定期研究布置相关工作，推动解决重点难点问题；要进一步加强组织建设、队伍建设、制度建设，确保党中央国务院、省委省政府和市委市政府各项决策部署落到实处。</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（二十四）强化统筹协调。</w:t>
      </w:r>
      <w:r>
        <w:rPr>
          <w:rFonts w:eastAsia="仿宋_GB2312"/>
          <w:sz w:val="32"/>
          <w:szCs w:val="32"/>
        </w:rPr>
        <w:t>建立水土保持部门协调机制，健全工作制度，强化相关部门间的协同配合。水行政主管部门要切实履行主管部门职责，发挥好牵头组织和统筹协调作用。发展改革、财政、自然资源、生态环境、农业农村等部门要按照职责分工做好相关工作，加强规划衔接、政策协同、项目互补，推动各项重点任务落实。各级政府要建立健全协调机制，抓好督促落实。</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（二十五）强化投入保障。</w:t>
      </w:r>
      <w:r>
        <w:rPr>
          <w:rFonts w:eastAsia="仿宋_GB2312"/>
          <w:sz w:val="32"/>
          <w:szCs w:val="32"/>
        </w:rPr>
        <w:t>加大地方财政水土保持投入，保障国家及省水土保持重点工程建设。各级政府要多渠道筹措资金，增加水土保持投入，落实水土保持重点工程配套资金。鼓励各地运用产权激励、金融扶持等政策，支持引导社会资本和符合条件的农民合作社、家庭农场等新型农业经营主体开展水土流失治理，对达一定规模、治理效果好的实施主体，依法依规给予一定规模和期限的自然资源资产使用权。将淤地坝淤积形成的可长期稳定利用的耕地纳入交易平台，用于耕地占补平衡。鼓励和引导公民、法人和其他组织以捐赠、资助等形式参与水土保持工作。</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hAnsi="楷体_GB2312" w:eastAsia="楷体_GB2312"/>
          <w:sz w:val="32"/>
          <w:szCs w:val="32"/>
        </w:rPr>
        <w:t>（二十六）强化宣传教育。</w:t>
      </w:r>
      <w:r>
        <w:rPr>
          <w:rFonts w:eastAsia="仿宋_GB2312"/>
          <w:sz w:val="32"/>
          <w:szCs w:val="32"/>
        </w:rPr>
        <w:t>采取多种形式广泛开展水土保持宣传教育，普及水土保持法律法规和相关制度。将水土保持纳入国民教育体系和党政领导干部培训体系，深入生产建设单位和施工一线开展普法宣传和政策宣讲，强化以案释法、以案示警，引导全社会强化水土保持意识。继承弘扬忻州水土保持历史经验和先进典型，总结推广新时代新经验新典型，讲好水土保持“忻州故事”。</w:t>
      </w:r>
    </w:p>
    <w:p>
      <w:pPr>
        <w:overflowPunct w:val="0"/>
        <w:autoSpaceDE w:val="0"/>
        <w:autoSpaceDN w:val="0"/>
        <w:snapToGrid w:val="0"/>
        <w:spacing w:line="560" w:lineRule="exact"/>
        <w:ind w:firstLine="640" w:firstLineChars="200"/>
        <w:textAlignment w:val="baseline"/>
        <w:rPr>
          <w:rFonts w:eastAsia="仿宋_GB2312"/>
          <w:sz w:val="32"/>
          <w:szCs w:val="32"/>
        </w:rPr>
      </w:pPr>
    </w:p>
    <w:p>
      <w:pPr>
        <w:overflowPunct w:val="0"/>
        <w:autoSpaceDE w:val="0"/>
        <w:autoSpaceDN w:val="0"/>
        <w:snapToGrid w:val="0"/>
        <w:spacing w:line="560" w:lineRule="exact"/>
        <w:ind w:firstLine="640" w:firstLineChars="200"/>
        <w:textAlignment w:val="baseline"/>
        <w:rPr>
          <w:rFonts w:eastAsia="仿宋_GB2312"/>
          <w:sz w:val="32"/>
          <w:szCs w:val="32"/>
        </w:rPr>
      </w:pPr>
      <w:r>
        <w:rPr>
          <w:rFonts w:eastAsia="仿宋_GB2312"/>
          <w:sz w:val="32"/>
          <w:szCs w:val="32"/>
        </w:rPr>
        <w:t>附件：1.重点工作任务分工表</w:t>
      </w:r>
    </w:p>
    <w:p>
      <w:pPr>
        <w:overflowPunct w:val="0"/>
        <w:autoSpaceDE w:val="0"/>
        <w:autoSpaceDN w:val="0"/>
        <w:snapToGrid w:val="0"/>
        <w:spacing w:line="560" w:lineRule="exact"/>
        <w:ind w:firstLine="640" w:firstLineChars="200"/>
        <w:textAlignment w:val="baseline"/>
        <w:rPr>
          <w:rFonts w:eastAsia="仿宋_GB2312"/>
          <w:sz w:val="32"/>
          <w:szCs w:val="32"/>
        </w:rPr>
      </w:pPr>
      <w:r>
        <w:rPr>
          <w:rFonts w:eastAsia="仿宋_GB2312"/>
          <w:sz w:val="32"/>
          <w:szCs w:val="32"/>
        </w:rPr>
        <w:t xml:space="preserve">      2.全市水土保持率目标值分解表</w:t>
      </w:r>
    </w:p>
    <w:p>
      <w:pPr>
        <w:widowControl/>
        <w:overflowPunct w:val="0"/>
        <w:autoSpaceDE w:val="0"/>
        <w:autoSpaceDN w:val="0"/>
        <w:snapToGrid w:val="0"/>
        <w:spacing w:line="600" w:lineRule="exact"/>
        <w:ind w:firstLine="640" w:firstLineChars="200"/>
        <w:textAlignment w:val="baseline"/>
        <w:rPr>
          <w:rFonts w:hint="eastAsia" w:ascii="仿宋" w:hAnsi="仿宋" w:eastAsia="仿宋" w:cs="仿宋"/>
          <w:sz w:val="32"/>
          <w:szCs w:val="32"/>
        </w:rPr>
      </w:pPr>
    </w:p>
    <w:p>
      <w:pPr>
        <w:widowControl/>
        <w:overflowPunct w:val="0"/>
        <w:autoSpaceDE w:val="0"/>
        <w:autoSpaceDN w:val="0"/>
        <w:snapToGrid w:val="0"/>
        <w:spacing w:line="600" w:lineRule="exact"/>
        <w:ind w:firstLine="640" w:firstLineChars="200"/>
        <w:textAlignment w:val="baseline"/>
        <w:rPr>
          <w:rFonts w:ascii="仿宋" w:hAnsi="仿宋" w:eastAsia="仿宋" w:cs="仿宋"/>
          <w:sz w:val="32"/>
          <w:szCs w:val="32"/>
        </w:rPr>
        <w:sectPr>
          <w:footerReference r:id="rId3" w:type="default"/>
          <w:footerReference r:id="rId4" w:type="even"/>
          <w:pgSz w:w="11900" w:h="16840"/>
          <w:pgMar w:top="2098" w:right="1588" w:bottom="1701" w:left="1588" w:header="0" w:footer="1134" w:gutter="0"/>
          <w:pgNumType w:fmt="numberInDash"/>
          <w:cols w:space="720" w:num="1"/>
          <w:titlePg/>
          <w:docGrid w:linePitch="286" w:charSpace="0"/>
        </w:sectPr>
      </w:pPr>
    </w:p>
    <w:p>
      <w:pPr>
        <w:widowControl/>
        <w:overflowPunct w:val="0"/>
        <w:autoSpaceDE w:val="0"/>
        <w:autoSpaceDN w:val="0"/>
        <w:adjustRightInd w:val="0"/>
        <w:snapToGrid w:val="0"/>
        <w:spacing w:line="600" w:lineRule="exact"/>
        <w:ind w:left="6" w:hanging="6"/>
        <w:textAlignment w:val="baseline"/>
        <w:rPr>
          <w:rFonts w:eastAsia="仿宋_GB2312"/>
          <w:sz w:val="32"/>
          <w:szCs w:val="32"/>
        </w:rPr>
      </w:pPr>
      <w:r>
        <w:rPr>
          <w:rFonts w:eastAsia="仿宋_GB2312"/>
          <w:sz w:val="32"/>
          <w:szCs w:val="32"/>
        </w:rPr>
        <w:t>附件1</w:t>
      </w:r>
      <w:r>
        <w:rPr>
          <w:rFonts w:hint="eastAsia" w:eastAsia="仿宋_GB2312"/>
          <w:sz w:val="32"/>
          <w:szCs w:val="32"/>
        </w:rPr>
        <w:t>：</w:t>
      </w:r>
    </w:p>
    <w:p>
      <w:pPr>
        <w:widowControl/>
        <w:overflowPunct w:val="0"/>
        <w:autoSpaceDE w:val="0"/>
        <w:autoSpaceDN w:val="0"/>
        <w:adjustRightInd w:val="0"/>
        <w:snapToGrid w:val="0"/>
        <w:spacing w:line="600" w:lineRule="exact"/>
        <w:ind w:left="6" w:hanging="6"/>
        <w:jc w:val="center"/>
        <w:textAlignment w:val="baseline"/>
        <w:rPr>
          <w:rFonts w:hint="eastAsia" w:ascii="方正大标宋简体" w:hAnsi="仿宋_GB2312" w:eastAsia="方正大标宋简体" w:cs="仿宋_GB2312"/>
          <w:sz w:val="32"/>
          <w:szCs w:val="32"/>
        </w:rPr>
      </w:pPr>
      <w:r>
        <w:rPr>
          <w:rFonts w:hint="eastAsia" w:ascii="方正大标宋简体" w:hAnsi="方正小标宋简体" w:eastAsia="方正大标宋简体" w:cs="方正小标宋简体"/>
          <w:sz w:val="44"/>
          <w:szCs w:val="44"/>
        </w:rPr>
        <w:t>重点工作任务分工表</w:t>
      </w:r>
    </w:p>
    <w:tbl>
      <w:tblPr>
        <w:tblStyle w:val="1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6025"/>
        <w:gridCol w:w="2278"/>
        <w:gridCol w:w="4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autoSpaceDE w:val="0"/>
              <w:autoSpaceDN w:val="0"/>
              <w:adjustRightInd w:val="0"/>
              <w:snapToGrid w:val="0"/>
              <w:jc w:val="center"/>
              <w:textAlignment w:val="baseline"/>
              <w:rPr>
                <w:rFonts w:eastAsia="仿宋_GB2312"/>
                <w:b/>
                <w:bCs/>
                <w:sz w:val="28"/>
                <w:szCs w:val="28"/>
              </w:rPr>
            </w:pPr>
            <w:r>
              <w:rPr>
                <w:rFonts w:eastAsia="仿宋_GB2312"/>
                <w:b/>
                <w:bCs/>
                <w:sz w:val="28"/>
                <w:szCs w:val="28"/>
              </w:rPr>
              <w:t>序号</w:t>
            </w:r>
          </w:p>
        </w:tc>
        <w:tc>
          <w:tcPr>
            <w:tcW w:w="6025" w:type="dxa"/>
            <w:vAlign w:val="center"/>
          </w:tcPr>
          <w:p>
            <w:pPr>
              <w:widowControl/>
              <w:overflowPunct w:val="0"/>
              <w:autoSpaceDE w:val="0"/>
              <w:autoSpaceDN w:val="0"/>
              <w:adjustRightInd w:val="0"/>
              <w:snapToGrid w:val="0"/>
              <w:jc w:val="center"/>
              <w:textAlignment w:val="baseline"/>
              <w:rPr>
                <w:rFonts w:eastAsia="仿宋_GB2312"/>
                <w:b/>
                <w:bCs/>
                <w:sz w:val="28"/>
                <w:szCs w:val="28"/>
              </w:rPr>
            </w:pPr>
            <w:r>
              <w:rPr>
                <w:rFonts w:eastAsia="仿宋_GB2312"/>
                <w:b/>
                <w:bCs/>
                <w:sz w:val="28"/>
                <w:szCs w:val="28"/>
              </w:rPr>
              <w:t>工作任务</w:t>
            </w:r>
          </w:p>
        </w:tc>
        <w:tc>
          <w:tcPr>
            <w:tcW w:w="2278" w:type="dxa"/>
            <w:vAlign w:val="center"/>
          </w:tcPr>
          <w:p>
            <w:pPr>
              <w:widowControl/>
              <w:overflowPunct w:val="0"/>
              <w:autoSpaceDE w:val="0"/>
              <w:autoSpaceDN w:val="0"/>
              <w:adjustRightInd w:val="0"/>
              <w:snapToGrid w:val="0"/>
              <w:jc w:val="center"/>
              <w:textAlignment w:val="baseline"/>
              <w:rPr>
                <w:rFonts w:eastAsia="仿宋_GB2312"/>
                <w:b/>
                <w:bCs/>
                <w:sz w:val="28"/>
                <w:szCs w:val="28"/>
              </w:rPr>
            </w:pPr>
            <w:r>
              <w:rPr>
                <w:rFonts w:eastAsia="仿宋_GB2312"/>
                <w:b/>
                <w:bCs/>
                <w:sz w:val="28"/>
                <w:szCs w:val="28"/>
              </w:rPr>
              <w:t>牵头单位</w:t>
            </w:r>
          </w:p>
        </w:tc>
        <w:tc>
          <w:tcPr>
            <w:tcW w:w="4244" w:type="dxa"/>
            <w:vAlign w:val="center"/>
          </w:tcPr>
          <w:p>
            <w:pPr>
              <w:widowControl/>
              <w:overflowPunct w:val="0"/>
              <w:autoSpaceDE w:val="0"/>
              <w:autoSpaceDN w:val="0"/>
              <w:adjustRightInd w:val="0"/>
              <w:snapToGrid w:val="0"/>
              <w:jc w:val="center"/>
              <w:textAlignment w:val="baseline"/>
              <w:rPr>
                <w:rFonts w:eastAsia="仿宋_GB2312"/>
                <w:b/>
                <w:bCs/>
                <w:sz w:val="28"/>
                <w:szCs w:val="28"/>
              </w:rPr>
            </w:pPr>
            <w:r>
              <w:rPr>
                <w:rFonts w:eastAsia="仿宋_GB2312"/>
                <w:b/>
                <w:bCs/>
                <w:sz w:val="28"/>
                <w:szCs w:val="28"/>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3353" w:type="dxa"/>
            <w:gridSpan w:val="4"/>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b/>
                <w:bCs/>
                <w:sz w:val="24"/>
              </w:rPr>
              <w:t>全面加强水土流失预防保护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806" w:type="dxa"/>
            <w:vAlign w:val="center"/>
          </w:tcPr>
          <w:p>
            <w:pPr>
              <w:widowControl/>
              <w:overflowPunct w:val="0"/>
              <w:jc w:val="center"/>
              <w:textAlignment w:val="center"/>
              <w:rPr>
                <w:rFonts w:eastAsia="仿宋_GB2312"/>
                <w:sz w:val="24"/>
              </w:rPr>
            </w:pPr>
            <w:r>
              <w:rPr>
                <w:rFonts w:eastAsia="仿宋_GB2312"/>
                <w:color w:val="000000"/>
                <w:kern w:val="0"/>
                <w:sz w:val="22"/>
                <w:szCs w:val="22"/>
              </w:rPr>
              <w:t>1</w:t>
            </w:r>
          </w:p>
        </w:tc>
        <w:tc>
          <w:tcPr>
            <w:tcW w:w="6025" w:type="dxa"/>
            <w:vAlign w:val="center"/>
          </w:tcPr>
          <w:p>
            <w:pPr>
              <w:widowControl/>
              <w:overflowPunct w:val="0"/>
              <w:autoSpaceDE w:val="0"/>
              <w:autoSpaceDN w:val="0"/>
              <w:adjustRightInd w:val="0"/>
              <w:snapToGrid w:val="0"/>
              <w:ind w:right="134" w:rightChars="64"/>
              <w:jc w:val="left"/>
              <w:textAlignment w:val="baseline"/>
              <w:rPr>
                <w:rFonts w:eastAsia="仿宋_GB2312"/>
                <w:sz w:val="24"/>
              </w:rPr>
            </w:pPr>
            <w:r>
              <w:rPr>
                <w:rFonts w:eastAsia="仿宋_GB2312"/>
                <w:sz w:val="24"/>
              </w:rPr>
              <w:t>落实水土保持空间管控制度，实行差别化预防保护和管控</w:t>
            </w:r>
          </w:p>
        </w:tc>
        <w:tc>
          <w:tcPr>
            <w:tcW w:w="2278"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314"/>
              <w:jc w:val="center"/>
              <w:textAlignment w:val="baseline"/>
              <w:rPr>
                <w:rFonts w:eastAsia="仿宋_GB2312"/>
                <w:sz w:val="24"/>
              </w:rPr>
            </w:pPr>
            <w:r>
              <w:rPr>
                <w:rFonts w:eastAsia="仿宋_GB2312"/>
                <w:sz w:val="24"/>
              </w:rPr>
              <w:t>市</w:t>
            </w:r>
            <w:bookmarkStart w:id="0" w:name="_GoBack"/>
            <w:bookmarkEnd w:id="0"/>
            <w:r>
              <w:rPr>
                <w:rFonts w:hint="eastAsia" w:eastAsia="仿宋_GB2312"/>
                <w:sz w:val="24"/>
                <w:lang w:eastAsia="zh-CN"/>
              </w:rPr>
              <w:t>规划和自然资源局</w:t>
            </w:r>
            <w:r>
              <w:rPr>
                <w:rFonts w:eastAsia="仿宋_GB2312"/>
                <w:sz w:val="24"/>
              </w:rPr>
              <w:t>、市生态环境局，各县（市、区）政府、五台山风景区管委会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z w:val="24"/>
              </w:rPr>
            </w:pPr>
            <w:r>
              <w:rPr>
                <w:rFonts w:eastAsia="仿宋_GB2312"/>
                <w:color w:val="000000"/>
                <w:kern w:val="0"/>
                <w:sz w:val="22"/>
                <w:szCs w:val="22"/>
              </w:rPr>
              <w:t>2</w:t>
            </w:r>
          </w:p>
        </w:tc>
        <w:tc>
          <w:tcPr>
            <w:tcW w:w="6025" w:type="dxa"/>
            <w:vAlign w:val="center"/>
          </w:tcPr>
          <w:p>
            <w:pPr>
              <w:widowControl/>
              <w:overflowPunct w:val="0"/>
              <w:autoSpaceDE w:val="0"/>
              <w:autoSpaceDN w:val="0"/>
              <w:adjustRightInd w:val="0"/>
              <w:snapToGrid w:val="0"/>
              <w:ind w:right="134" w:rightChars="64"/>
              <w:jc w:val="left"/>
              <w:textAlignment w:val="baseline"/>
              <w:rPr>
                <w:rFonts w:eastAsia="仿宋_GB2312"/>
                <w:sz w:val="24"/>
              </w:rPr>
            </w:pPr>
            <w:r>
              <w:rPr>
                <w:rFonts w:eastAsia="仿宋_GB2312"/>
                <w:sz w:val="24"/>
              </w:rPr>
              <w:t>可能造成人为水土流失相关规划审批衔接</w:t>
            </w:r>
          </w:p>
        </w:tc>
        <w:tc>
          <w:tcPr>
            <w:tcW w:w="2278" w:type="dxa"/>
            <w:vAlign w:val="center"/>
          </w:tcPr>
          <w:p>
            <w:pPr>
              <w:widowControl/>
              <w:overflowPunct w:val="0"/>
              <w:autoSpaceDE w:val="0"/>
              <w:autoSpaceDN w:val="0"/>
              <w:adjustRightInd w:val="0"/>
              <w:snapToGrid w:val="0"/>
              <w:ind w:right="16"/>
              <w:jc w:val="center"/>
              <w:textAlignment w:val="baseline"/>
              <w:rPr>
                <w:rFonts w:eastAsia="仿宋_GB2312"/>
                <w:sz w:val="24"/>
              </w:rPr>
            </w:pPr>
            <w:r>
              <w:rPr>
                <w:rFonts w:eastAsia="仿宋_GB2312"/>
                <w:sz w:val="24"/>
              </w:rPr>
              <w:t>涉及水土流失相关</w:t>
            </w:r>
          </w:p>
          <w:p>
            <w:pPr>
              <w:widowControl/>
              <w:overflowPunct w:val="0"/>
              <w:autoSpaceDE w:val="0"/>
              <w:autoSpaceDN w:val="0"/>
              <w:adjustRightInd w:val="0"/>
              <w:snapToGrid w:val="0"/>
              <w:ind w:right="16"/>
              <w:jc w:val="center"/>
              <w:textAlignment w:val="baseline"/>
              <w:rPr>
                <w:rFonts w:eastAsia="仿宋_GB2312"/>
                <w:sz w:val="24"/>
              </w:rPr>
            </w:pPr>
            <w:r>
              <w:rPr>
                <w:rFonts w:eastAsia="仿宋_GB2312"/>
                <w:sz w:val="24"/>
              </w:rPr>
              <w:t>规划的主管部门</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z w:val="24"/>
              </w:rPr>
            </w:pPr>
            <w:r>
              <w:rPr>
                <w:rFonts w:eastAsia="仿宋_GB2312"/>
                <w:color w:val="000000"/>
                <w:kern w:val="0"/>
                <w:sz w:val="22"/>
                <w:szCs w:val="22"/>
              </w:rPr>
              <w:t>3</w:t>
            </w:r>
          </w:p>
        </w:tc>
        <w:tc>
          <w:tcPr>
            <w:tcW w:w="6025" w:type="dxa"/>
            <w:vAlign w:val="center"/>
          </w:tcPr>
          <w:p>
            <w:pPr>
              <w:widowControl/>
              <w:overflowPunct w:val="0"/>
              <w:autoSpaceDE w:val="0"/>
              <w:autoSpaceDN w:val="0"/>
              <w:adjustRightInd w:val="0"/>
              <w:snapToGrid w:val="0"/>
              <w:ind w:right="134" w:rightChars="64"/>
              <w:jc w:val="left"/>
              <w:textAlignment w:val="baseline"/>
              <w:rPr>
                <w:rFonts w:eastAsia="仿宋_GB2312"/>
                <w:sz w:val="24"/>
              </w:rPr>
            </w:pPr>
            <w:r>
              <w:rPr>
                <w:rFonts w:eastAsia="仿宋_GB2312"/>
                <w:sz w:val="24"/>
              </w:rPr>
              <w:t>加快实施黄土高原水土流失综合治理工程、黄河重点生态区矿山生态修复工程</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z w:val="24"/>
                <w:lang w:eastAsia="zh-CN"/>
              </w:rPr>
            </w:pPr>
            <w:r>
              <w:rPr>
                <w:rFonts w:eastAsia="仿宋_GB2312"/>
                <w:sz w:val="24"/>
              </w:rPr>
              <w:t>市</w:t>
            </w:r>
            <w:r>
              <w:rPr>
                <w:rFonts w:hint="eastAsia" w:eastAsia="仿宋_GB2312"/>
                <w:sz w:val="24"/>
                <w:lang w:eastAsia="zh-CN"/>
              </w:rPr>
              <w:t>规划和自然资源局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z w:val="24"/>
              </w:rPr>
            </w:pPr>
            <w:r>
              <w:rPr>
                <w:rFonts w:eastAsia="仿宋_GB2312"/>
                <w:sz w:val="24"/>
              </w:rPr>
              <w:t>4</w:t>
            </w:r>
          </w:p>
        </w:tc>
        <w:tc>
          <w:tcPr>
            <w:tcW w:w="6025" w:type="dxa"/>
            <w:vAlign w:val="center"/>
          </w:tcPr>
          <w:p>
            <w:pPr>
              <w:widowControl/>
              <w:overflowPunct w:val="0"/>
              <w:autoSpaceDE w:val="0"/>
              <w:autoSpaceDN w:val="0"/>
              <w:adjustRightInd w:val="0"/>
              <w:snapToGrid w:val="0"/>
              <w:ind w:right="134" w:rightChars="64"/>
              <w:jc w:val="left"/>
              <w:textAlignment w:val="baseline"/>
              <w:rPr>
                <w:rFonts w:eastAsia="仿宋_GB2312"/>
                <w:sz w:val="24"/>
              </w:rPr>
            </w:pPr>
            <w:r>
              <w:rPr>
                <w:rFonts w:eastAsia="仿宋_GB2312"/>
                <w:sz w:val="24"/>
              </w:rPr>
              <w:t>推进“两山四河一流域”生态保护与修复</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z w:val="24"/>
                <w:lang w:eastAsia="zh-CN"/>
              </w:rPr>
            </w:pPr>
            <w:r>
              <w:rPr>
                <w:rFonts w:eastAsia="仿宋_GB2312"/>
                <w:sz w:val="24"/>
              </w:rPr>
              <w:t>市</w:t>
            </w:r>
            <w:r>
              <w:rPr>
                <w:rFonts w:hint="eastAsia" w:eastAsia="仿宋_GB2312"/>
                <w:sz w:val="24"/>
                <w:lang w:eastAsia="zh-CN"/>
              </w:rPr>
              <w:t>规划和自然资源局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市生态环境局、市水利局，各县（市、区）政府、五台山风景区管委会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806" w:type="dxa"/>
            <w:vAlign w:val="center"/>
          </w:tcPr>
          <w:p>
            <w:pPr>
              <w:widowControl/>
              <w:overflowPunct w:val="0"/>
              <w:jc w:val="center"/>
              <w:textAlignment w:val="center"/>
              <w:rPr>
                <w:rFonts w:eastAsia="仿宋_GB2312"/>
                <w:sz w:val="24"/>
              </w:rPr>
            </w:pPr>
            <w:r>
              <w:rPr>
                <w:rFonts w:eastAsia="仿宋_GB2312"/>
                <w:sz w:val="24"/>
              </w:rPr>
              <w:t>5</w:t>
            </w:r>
          </w:p>
        </w:tc>
        <w:tc>
          <w:tcPr>
            <w:tcW w:w="6025" w:type="dxa"/>
            <w:vAlign w:val="center"/>
          </w:tcPr>
          <w:p>
            <w:pPr>
              <w:widowControl/>
              <w:overflowPunct w:val="0"/>
              <w:autoSpaceDE w:val="0"/>
              <w:autoSpaceDN w:val="0"/>
              <w:adjustRightInd w:val="0"/>
              <w:snapToGrid w:val="0"/>
              <w:ind w:right="134" w:rightChars="64"/>
              <w:jc w:val="left"/>
              <w:textAlignment w:val="baseline"/>
              <w:rPr>
                <w:rFonts w:eastAsia="仿宋_GB2312"/>
                <w:sz w:val="24"/>
              </w:rPr>
            </w:pPr>
            <w:r>
              <w:rPr>
                <w:rFonts w:eastAsia="仿宋_GB2312"/>
                <w:sz w:val="24"/>
              </w:rPr>
              <w:t>持续推进高标准农田建设，完善农田防护林网和灌溉排水体系</w:t>
            </w:r>
          </w:p>
        </w:tc>
        <w:tc>
          <w:tcPr>
            <w:tcW w:w="2278"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市农业农村局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z w:val="24"/>
              </w:rPr>
            </w:pPr>
            <w:r>
              <w:rPr>
                <w:rFonts w:eastAsia="仿宋_GB2312"/>
                <w:sz w:val="24"/>
              </w:rPr>
              <w:t>6</w:t>
            </w:r>
          </w:p>
        </w:tc>
        <w:tc>
          <w:tcPr>
            <w:tcW w:w="6025" w:type="dxa"/>
            <w:vAlign w:val="center"/>
          </w:tcPr>
          <w:p>
            <w:pPr>
              <w:widowControl/>
              <w:overflowPunct w:val="0"/>
              <w:autoSpaceDE w:val="0"/>
              <w:autoSpaceDN w:val="0"/>
              <w:adjustRightInd w:val="0"/>
              <w:snapToGrid w:val="0"/>
              <w:ind w:right="134" w:rightChars="64"/>
              <w:jc w:val="left"/>
              <w:textAlignment w:val="baseline"/>
              <w:rPr>
                <w:rFonts w:eastAsia="仿宋_GB2312"/>
                <w:sz w:val="24"/>
              </w:rPr>
            </w:pPr>
            <w:r>
              <w:rPr>
                <w:rFonts w:eastAsia="仿宋_GB2312"/>
                <w:sz w:val="24"/>
              </w:rPr>
              <w:t>天然林和草原保护修复</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z w:val="24"/>
                <w:lang w:eastAsia="zh-CN"/>
              </w:rPr>
            </w:pPr>
            <w:r>
              <w:rPr>
                <w:rFonts w:eastAsia="仿宋_GB2312"/>
                <w:sz w:val="24"/>
              </w:rPr>
              <w:t>市</w:t>
            </w:r>
            <w:r>
              <w:rPr>
                <w:rFonts w:hint="eastAsia" w:eastAsia="仿宋_GB2312"/>
                <w:sz w:val="24"/>
                <w:lang w:eastAsia="zh-CN"/>
              </w:rPr>
              <w:t>规划和自然资源局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市水利局，市农业农村局，各县（市、区）政府、五台山风景区管委会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3353" w:type="dxa"/>
            <w:gridSpan w:val="4"/>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b/>
                <w:bCs/>
                <w:sz w:val="24"/>
              </w:rPr>
              <w:t>依法严格生产建设活动水土保持监管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7</w:t>
            </w:r>
          </w:p>
        </w:tc>
        <w:tc>
          <w:tcPr>
            <w:tcW w:w="6025" w:type="dxa"/>
            <w:vAlign w:val="center"/>
          </w:tcPr>
          <w:p>
            <w:pPr>
              <w:widowControl/>
              <w:overflowPunct w:val="0"/>
              <w:autoSpaceDE w:val="0"/>
              <w:autoSpaceDN w:val="0"/>
              <w:adjustRightInd w:val="0"/>
              <w:snapToGrid w:val="0"/>
              <w:ind w:right="204"/>
              <w:jc w:val="left"/>
              <w:textAlignment w:val="baseline"/>
              <w:rPr>
                <w:rFonts w:eastAsia="仿宋_GB2312"/>
                <w:sz w:val="24"/>
              </w:rPr>
            </w:pPr>
            <w:r>
              <w:rPr>
                <w:rFonts w:eastAsia="仿宋_GB2312"/>
                <w:sz w:val="24"/>
              </w:rPr>
              <w:t>依法落实生产建设项目水土保持方案制度，加强事前事中事后监管，落实水土流失生态环境损害赔偿制度</w:t>
            </w:r>
          </w:p>
        </w:tc>
        <w:tc>
          <w:tcPr>
            <w:tcW w:w="2278"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生产建设项目行业主管部门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snapToGrid w:val="0"/>
                <w:color w:val="000000"/>
                <w:kern w:val="0"/>
                <w:sz w:val="24"/>
              </w:rPr>
              <w:t>8</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依法征收水土保持补偿费</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市税务局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autoSpaceDE w:val="0"/>
              <w:autoSpaceDN w:val="0"/>
              <w:adjustRightInd w:val="0"/>
              <w:snapToGrid w:val="0"/>
              <w:jc w:val="center"/>
              <w:textAlignment w:val="baseline"/>
              <w:rPr>
                <w:rFonts w:eastAsia="仿宋_GB2312"/>
                <w:color w:val="000000"/>
                <w:kern w:val="0"/>
                <w:sz w:val="22"/>
                <w:szCs w:val="22"/>
              </w:rPr>
            </w:pPr>
            <w:r>
              <w:rPr>
                <w:rFonts w:eastAsia="仿宋_GB2312"/>
                <w:b/>
                <w:bCs/>
                <w:sz w:val="28"/>
                <w:szCs w:val="28"/>
              </w:rPr>
              <w:t>序号</w:t>
            </w:r>
          </w:p>
        </w:tc>
        <w:tc>
          <w:tcPr>
            <w:tcW w:w="6025"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b/>
                <w:bCs/>
                <w:sz w:val="28"/>
                <w:szCs w:val="28"/>
              </w:rPr>
              <w:t>工作任务</w:t>
            </w:r>
          </w:p>
        </w:tc>
        <w:tc>
          <w:tcPr>
            <w:tcW w:w="2278"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b/>
                <w:bCs/>
                <w:sz w:val="28"/>
                <w:szCs w:val="28"/>
              </w:rPr>
              <w:t>牵头单位</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b/>
                <w:bCs/>
                <w:sz w:val="28"/>
                <w:szCs w:val="28"/>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snapToGrid w:val="0"/>
                <w:color w:val="000000"/>
                <w:kern w:val="0"/>
                <w:sz w:val="24"/>
              </w:rPr>
              <w:t>9</w:t>
            </w:r>
          </w:p>
        </w:tc>
        <w:tc>
          <w:tcPr>
            <w:tcW w:w="6025" w:type="dxa"/>
            <w:vAlign w:val="center"/>
          </w:tcPr>
          <w:p>
            <w:pPr>
              <w:widowControl/>
              <w:overflowPunct w:val="0"/>
              <w:autoSpaceDE w:val="0"/>
              <w:autoSpaceDN w:val="0"/>
              <w:adjustRightInd w:val="0"/>
              <w:snapToGrid w:val="0"/>
              <w:ind w:right="214"/>
              <w:jc w:val="left"/>
              <w:textAlignment w:val="baseline"/>
              <w:rPr>
                <w:rFonts w:eastAsia="仿宋_GB2312"/>
                <w:snapToGrid w:val="0"/>
                <w:color w:val="000000"/>
                <w:kern w:val="0"/>
                <w:sz w:val="24"/>
              </w:rPr>
            </w:pPr>
            <w:r>
              <w:rPr>
                <w:rFonts w:eastAsia="仿宋_GB2312"/>
                <w:sz w:val="24"/>
              </w:rPr>
              <w:t>全面深化水土保持“放管服”改革，优化水土保持方案和水土保持项目审批服务</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市行政审批局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10</w:t>
            </w:r>
          </w:p>
        </w:tc>
        <w:tc>
          <w:tcPr>
            <w:tcW w:w="6025" w:type="dxa"/>
            <w:vAlign w:val="center"/>
          </w:tcPr>
          <w:p>
            <w:pPr>
              <w:widowControl/>
              <w:overflowPunct w:val="0"/>
              <w:autoSpaceDE w:val="0"/>
              <w:autoSpaceDN w:val="0"/>
              <w:adjustRightInd w:val="0"/>
              <w:snapToGrid w:val="0"/>
              <w:ind w:right="74"/>
              <w:jc w:val="left"/>
              <w:textAlignment w:val="baseline"/>
              <w:rPr>
                <w:rFonts w:eastAsia="仿宋_GB2312"/>
                <w:snapToGrid w:val="0"/>
                <w:color w:val="000000"/>
                <w:kern w:val="0"/>
                <w:sz w:val="24"/>
              </w:rPr>
            </w:pPr>
            <w:r>
              <w:rPr>
                <w:rFonts w:eastAsia="仿宋_GB2312"/>
                <w:sz w:val="24"/>
              </w:rPr>
              <w:t>以“互联网+监管”为抓手，推动水土保持监管智能化、精准化</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11</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建立生产建设项目水土保持监管清单制度</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生产建设项目行业主管部门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12</w:t>
            </w:r>
          </w:p>
        </w:tc>
        <w:tc>
          <w:tcPr>
            <w:tcW w:w="6025" w:type="dxa"/>
            <w:vAlign w:val="center"/>
          </w:tcPr>
          <w:p>
            <w:pPr>
              <w:widowControl/>
              <w:overflowPunct w:val="0"/>
              <w:autoSpaceDE w:val="0"/>
              <w:autoSpaceDN w:val="0"/>
              <w:adjustRightInd w:val="0"/>
              <w:snapToGrid w:val="0"/>
              <w:ind w:right="192"/>
              <w:jc w:val="left"/>
              <w:textAlignment w:val="baseline"/>
              <w:rPr>
                <w:rFonts w:eastAsia="仿宋_GB2312"/>
                <w:snapToGrid w:val="0"/>
                <w:color w:val="000000"/>
                <w:kern w:val="0"/>
                <w:sz w:val="24"/>
              </w:rPr>
            </w:pPr>
            <w:r>
              <w:rPr>
                <w:rFonts w:eastAsia="仿宋_GB2312"/>
                <w:sz w:val="24"/>
              </w:rPr>
              <w:t>完善水土保持行政执法与刑事司法衔接、与检察公益诉讼协作机制</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市检察院、市公安局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13</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健全水土保持监管履职逐级督查机制</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14</w:t>
            </w:r>
          </w:p>
        </w:tc>
        <w:tc>
          <w:tcPr>
            <w:tcW w:w="6025" w:type="dxa"/>
            <w:vAlign w:val="center"/>
          </w:tcPr>
          <w:p>
            <w:pPr>
              <w:widowControl/>
              <w:overflowPunct w:val="0"/>
              <w:autoSpaceDE w:val="0"/>
              <w:autoSpaceDN w:val="0"/>
              <w:adjustRightInd w:val="0"/>
              <w:snapToGrid w:val="0"/>
              <w:ind w:right="191"/>
              <w:jc w:val="left"/>
              <w:textAlignment w:val="baseline"/>
              <w:rPr>
                <w:rFonts w:eastAsia="仿宋_GB2312"/>
                <w:snapToGrid w:val="0"/>
                <w:color w:val="000000"/>
                <w:kern w:val="0"/>
                <w:sz w:val="24"/>
              </w:rPr>
            </w:pPr>
            <w:r>
              <w:rPr>
                <w:rFonts w:eastAsia="仿宋_GB2312"/>
                <w:sz w:val="24"/>
              </w:rPr>
              <w:t>开展水土保持信用评价，落实“两单”制度，实行信用分级分类监管和激励惩戒</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15</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落实水土保持“三同时”制度</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生产建设项目行业主管部门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3353" w:type="dxa"/>
            <w:gridSpan w:val="4"/>
            <w:vAlign w:val="center"/>
          </w:tcPr>
          <w:p>
            <w:pPr>
              <w:widowControl/>
              <w:overflowPunct w:val="0"/>
              <w:autoSpaceDE w:val="0"/>
              <w:autoSpaceDN w:val="0"/>
              <w:adjustRightInd w:val="0"/>
              <w:snapToGrid w:val="0"/>
              <w:jc w:val="center"/>
              <w:textAlignment w:val="baseline"/>
              <w:rPr>
                <w:rFonts w:eastAsia="仿宋_GB2312"/>
                <w:b/>
                <w:bCs/>
                <w:sz w:val="24"/>
              </w:rPr>
            </w:pPr>
            <w:r>
              <w:rPr>
                <w:rFonts w:eastAsia="仿宋_GB2312"/>
                <w:b/>
                <w:bCs/>
                <w:sz w:val="24"/>
              </w:rPr>
              <w:t>加快推进水土流失综合治理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16</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选取1个县(市、区)开展生态清洁小流域整县推进试点</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64"/>
              <w:jc w:val="center"/>
              <w:textAlignment w:val="baseline"/>
              <w:rPr>
                <w:rFonts w:eastAsia="仿宋_GB2312"/>
                <w:sz w:val="24"/>
              </w:rPr>
            </w:pPr>
            <w:r>
              <w:rPr>
                <w:rFonts w:eastAsia="仿宋_GB2312"/>
                <w:sz w:val="24"/>
              </w:rPr>
              <w:t>市</w:t>
            </w:r>
            <w:r>
              <w:rPr>
                <w:rFonts w:hint="eastAsia" w:eastAsia="仿宋_GB2312"/>
                <w:sz w:val="24"/>
                <w:lang w:eastAsia="zh-CN"/>
              </w:rPr>
              <w:t>规划和自然资源局</w:t>
            </w:r>
            <w:r>
              <w:rPr>
                <w:rFonts w:eastAsia="仿宋_GB2312"/>
                <w:sz w:val="24"/>
              </w:rPr>
              <w:t>、市农业农村局、</w:t>
            </w:r>
          </w:p>
          <w:p>
            <w:pPr>
              <w:widowControl/>
              <w:overflowPunct w:val="0"/>
              <w:autoSpaceDE w:val="0"/>
              <w:autoSpaceDN w:val="0"/>
              <w:adjustRightInd w:val="0"/>
              <w:snapToGrid w:val="0"/>
              <w:ind w:right="64"/>
              <w:jc w:val="center"/>
              <w:textAlignment w:val="baseline"/>
              <w:rPr>
                <w:rFonts w:eastAsia="仿宋_GB2312"/>
                <w:snapToGrid w:val="0"/>
                <w:color w:val="000000"/>
                <w:kern w:val="0"/>
                <w:sz w:val="24"/>
              </w:rPr>
            </w:pPr>
            <w:r>
              <w:rPr>
                <w:rFonts w:eastAsia="仿宋_GB2312"/>
                <w:sz w:val="24"/>
              </w:rPr>
              <w:t>市乡村振兴局，相关县（市、区）政府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17</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整沟一体化综合治理</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napToGrid w:val="0"/>
                <w:color w:val="000000"/>
                <w:kern w:val="0"/>
                <w:sz w:val="24"/>
                <w:lang w:eastAsia="zh-CN"/>
              </w:rPr>
            </w:pPr>
            <w:r>
              <w:rPr>
                <w:rFonts w:eastAsia="仿宋_GB2312"/>
                <w:sz w:val="24"/>
              </w:rPr>
              <w:t>市</w:t>
            </w:r>
            <w:r>
              <w:rPr>
                <w:rFonts w:hint="eastAsia" w:eastAsia="仿宋_GB2312"/>
                <w:sz w:val="24"/>
                <w:lang w:eastAsia="zh-CN"/>
              </w:rPr>
              <w:t>规划和自然资源局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市水利局、市农业农村局、</w:t>
            </w:r>
          </w:p>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市乡村振兴局，各县（市、区）政府、五台山风景区管委会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18</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打造10条高标准小流域，实施坡耕地综合治理39万亩</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64"/>
              <w:jc w:val="center"/>
              <w:textAlignment w:val="baseline"/>
              <w:rPr>
                <w:rFonts w:eastAsia="仿宋_GB2312"/>
                <w:snapToGrid w:val="0"/>
                <w:color w:val="000000"/>
                <w:kern w:val="0"/>
                <w:sz w:val="24"/>
              </w:rPr>
            </w:pPr>
            <w:r>
              <w:rPr>
                <w:rFonts w:eastAsia="仿宋_GB2312"/>
                <w:sz w:val="24"/>
              </w:rPr>
              <w:t>市</w:t>
            </w:r>
            <w:r>
              <w:rPr>
                <w:rFonts w:hint="eastAsia" w:eastAsia="仿宋_GB2312"/>
                <w:sz w:val="24"/>
                <w:lang w:eastAsia="zh-CN"/>
              </w:rPr>
              <w:t>规划和自然资源局</w:t>
            </w:r>
            <w:r>
              <w:rPr>
                <w:rFonts w:eastAsia="仿宋_GB2312"/>
                <w:sz w:val="24"/>
              </w:rPr>
              <w:t>、市农业农村局、市乡村振兴局，相关县（市、区）政府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snapToGrid w:val="0"/>
                <w:color w:val="000000"/>
                <w:kern w:val="0"/>
                <w:sz w:val="24"/>
              </w:rPr>
              <w:t>19</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坡耕地水土流失综合治理</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233" w:rightChars="111"/>
              <w:jc w:val="center"/>
              <w:textAlignment w:val="baseline"/>
              <w:rPr>
                <w:rFonts w:eastAsia="仿宋_GB2312"/>
                <w:sz w:val="24"/>
              </w:rPr>
            </w:pPr>
            <w:r>
              <w:rPr>
                <w:rFonts w:eastAsia="仿宋_GB2312"/>
                <w:sz w:val="24"/>
              </w:rPr>
              <w:t>市发展改革委、市财政局，</w:t>
            </w:r>
          </w:p>
          <w:p>
            <w:pPr>
              <w:widowControl/>
              <w:overflowPunct w:val="0"/>
              <w:autoSpaceDE w:val="0"/>
              <w:autoSpaceDN w:val="0"/>
              <w:adjustRightInd w:val="0"/>
              <w:snapToGrid w:val="0"/>
              <w:ind w:right="233" w:rightChars="111"/>
              <w:jc w:val="center"/>
              <w:textAlignment w:val="baseline"/>
              <w:rPr>
                <w:rFonts w:eastAsia="仿宋_GB2312"/>
                <w:snapToGrid w:val="0"/>
                <w:color w:val="000000"/>
                <w:kern w:val="0"/>
                <w:sz w:val="24"/>
              </w:rPr>
            </w:pPr>
            <w:r>
              <w:rPr>
                <w:rFonts w:eastAsia="仿宋_GB2312"/>
                <w:sz w:val="24"/>
              </w:rPr>
              <w:t>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06"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序号</w:t>
            </w:r>
          </w:p>
        </w:tc>
        <w:tc>
          <w:tcPr>
            <w:tcW w:w="6025"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工作任务</w:t>
            </w:r>
          </w:p>
        </w:tc>
        <w:tc>
          <w:tcPr>
            <w:tcW w:w="2278"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牵头单位</w:t>
            </w:r>
          </w:p>
        </w:tc>
        <w:tc>
          <w:tcPr>
            <w:tcW w:w="4244"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20</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缓坡耕地水土流失治理与高标准农田建设有效衔接</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233" w:rightChars="111"/>
              <w:jc w:val="center"/>
              <w:textAlignment w:val="baseline"/>
              <w:rPr>
                <w:rFonts w:eastAsia="仿宋_GB2312"/>
                <w:snapToGrid w:val="0"/>
                <w:color w:val="000000"/>
                <w:kern w:val="0"/>
                <w:sz w:val="24"/>
              </w:rPr>
            </w:pPr>
            <w:r>
              <w:rPr>
                <w:rFonts w:eastAsia="仿宋_GB2312"/>
                <w:sz w:val="24"/>
              </w:rPr>
              <w:t>市农业农村局，各县（市、区）政府、五台山风景区管委会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21</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发展高效旱作农业</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市农业农村局</w:t>
            </w:r>
          </w:p>
        </w:tc>
        <w:tc>
          <w:tcPr>
            <w:tcW w:w="4244" w:type="dxa"/>
            <w:vAlign w:val="center"/>
          </w:tcPr>
          <w:p>
            <w:pPr>
              <w:widowControl/>
              <w:overflowPunct w:val="0"/>
              <w:autoSpaceDE w:val="0"/>
              <w:autoSpaceDN w:val="0"/>
              <w:adjustRightInd w:val="0"/>
              <w:snapToGrid w:val="0"/>
              <w:ind w:right="233" w:rightChars="111"/>
              <w:jc w:val="center"/>
              <w:textAlignment w:val="baseline"/>
              <w:rPr>
                <w:rFonts w:eastAsia="仿宋_GB2312"/>
                <w:snapToGrid w:val="0"/>
                <w:color w:val="000000"/>
                <w:kern w:val="0"/>
                <w:sz w:val="24"/>
              </w:rPr>
            </w:pPr>
            <w:r>
              <w:rPr>
                <w:rFonts w:eastAsia="仿宋_GB2312"/>
                <w:sz w:val="24"/>
              </w:rPr>
              <w:t>市水利局，各县（市、区）政府、五台山风景区管委会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22</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新建淤地坝、淤地坝除险加固和提升改造</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233" w:rightChars="111"/>
              <w:jc w:val="center"/>
              <w:textAlignment w:val="baseline"/>
              <w:rPr>
                <w:rFonts w:eastAsia="仿宋_GB2312"/>
                <w:snapToGrid w:val="0"/>
                <w:color w:val="000000"/>
                <w:kern w:val="0"/>
                <w:sz w:val="24"/>
              </w:rPr>
            </w:pPr>
            <w:r>
              <w:rPr>
                <w:rFonts w:eastAsia="仿宋_GB2312"/>
                <w:sz w:val="24"/>
              </w:rPr>
              <w:t>市发展改革委、市财政局，相关县（市、区）政府、五台山风景区管委会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3353" w:type="dxa"/>
            <w:gridSpan w:val="4"/>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b/>
                <w:bCs/>
                <w:sz w:val="24"/>
              </w:rPr>
              <w:t>充分发挥水土保持功能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23</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建设吕梁山、太行山生态屏障</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napToGrid w:val="0"/>
                <w:color w:val="000000"/>
                <w:kern w:val="0"/>
                <w:sz w:val="24"/>
                <w:lang w:eastAsia="zh-CN"/>
              </w:rPr>
            </w:pPr>
            <w:r>
              <w:rPr>
                <w:rFonts w:eastAsia="仿宋_GB2312"/>
                <w:sz w:val="24"/>
              </w:rPr>
              <w:t>市</w:t>
            </w:r>
            <w:r>
              <w:rPr>
                <w:rFonts w:hint="eastAsia" w:eastAsia="仿宋_GB2312"/>
                <w:sz w:val="24"/>
                <w:lang w:eastAsia="zh-CN"/>
              </w:rPr>
              <w:t>规划和自然资源局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24</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推进绿色矿山建设</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napToGrid w:val="0"/>
                <w:color w:val="000000"/>
                <w:kern w:val="0"/>
                <w:sz w:val="24"/>
                <w:lang w:eastAsia="zh-CN"/>
              </w:rPr>
            </w:pPr>
            <w:r>
              <w:rPr>
                <w:rFonts w:eastAsia="仿宋_GB2312"/>
                <w:sz w:val="24"/>
              </w:rPr>
              <w:t>市</w:t>
            </w:r>
            <w:r>
              <w:rPr>
                <w:rFonts w:hint="eastAsia" w:eastAsia="仿宋_GB2312"/>
                <w:sz w:val="24"/>
                <w:lang w:eastAsia="zh-CN"/>
              </w:rPr>
              <w:t>规划和自然资源局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25</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发展兼具生态效益和经济效益的经果林</w:t>
            </w:r>
          </w:p>
        </w:tc>
        <w:tc>
          <w:tcPr>
            <w:tcW w:w="2278" w:type="dxa"/>
            <w:vAlign w:val="center"/>
          </w:tcPr>
          <w:p>
            <w:pPr>
              <w:widowControl/>
              <w:overflowPunct w:val="0"/>
              <w:autoSpaceDE w:val="0"/>
              <w:autoSpaceDN w:val="0"/>
              <w:adjustRightInd w:val="0"/>
              <w:snapToGrid w:val="0"/>
              <w:jc w:val="center"/>
              <w:textAlignment w:val="baseline"/>
              <w:rPr>
                <w:rFonts w:hint="eastAsia" w:eastAsia="仿宋_GB2312"/>
                <w:snapToGrid w:val="0"/>
                <w:color w:val="000000"/>
                <w:kern w:val="0"/>
                <w:sz w:val="24"/>
                <w:lang w:eastAsia="zh-CN"/>
              </w:rPr>
            </w:pPr>
            <w:r>
              <w:rPr>
                <w:rFonts w:eastAsia="仿宋_GB2312"/>
                <w:snapToGrid w:val="0"/>
                <w:color w:val="000000"/>
                <w:kern w:val="0"/>
                <w:sz w:val="24"/>
              </w:rPr>
              <w:t>市</w:t>
            </w:r>
            <w:r>
              <w:rPr>
                <w:rFonts w:hint="eastAsia" w:eastAsia="仿宋_GB2312"/>
                <w:snapToGrid w:val="0"/>
                <w:color w:val="000000"/>
                <w:kern w:val="0"/>
                <w:sz w:val="24"/>
                <w:lang w:eastAsia="zh-CN"/>
              </w:rPr>
              <w:t>规划和自然资源局</w:t>
            </w:r>
          </w:p>
        </w:tc>
        <w:tc>
          <w:tcPr>
            <w:tcW w:w="4244" w:type="dxa"/>
            <w:vAlign w:val="center"/>
          </w:tcPr>
          <w:p>
            <w:pPr>
              <w:widowControl/>
              <w:overflowPunct w:val="0"/>
              <w:autoSpaceDE w:val="0"/>
              <w:autoSpaceDN w:val="0"/>
              <w:adjustRightInd w:val="0"/>
              <w:snapToGrid w:val="0"/>
              <w:ind w:right="34" w:rightChars="16"/>
              <w:jc w:val="center"/>
              <w:textAlignment w:val="baseline"/>
              <w:rPr>
                <w:rFonts w:eastAsia="仿宋_GB2312"/>
                <w:sz w:val="24"/>
              </w:rPr>
            </w:pPr>
            <w:r>
              <w:rPr>
                <w:rFonts w:eastAsia="仿宋_GB2312"/>
                <w:sz w:val="24"/>
              </w:rPr>
              <w:t>市乡村振兴局、市农业农村局、</w:t>
            </w:r>
          </w:p>
          <w:p>
            <w:pPr>
              <w:widowControl/>
              <w:overflowPunct w:val="0"/>
              <w:autoSpaceDE w:val="0"/>
              <w:autoSpaceDN w:val="0"/>
              <w:adjustRightInd w:val="0"/>
              <w:snapToGrid w:val="0"/>
              <w:ind w:right="34" w:rightChars="16"/>
              <w:jc w:val="center"/>
              <w:textAlignment w:val="baseline"/>
              <w:rPr>
                <w:rFonts w:eastAsia="仿宋_GB2312"/>
                <w:snapToGrid w:val="0"/>
                <w:color w:val="000000"/>
                <w:kern w:val="0"/>
                <w:sz w:val="24"/>
              </w:rPr>
            </w:pPr>
            <w:r>
              <w:rPr>
                <w:rFonts w:eastAsia="仿宋_GB2312"/>
                <w:sz w:val="24"/>
              </w:rPr>
              <w:t>市水利局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26</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改善乡村人居环境</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市农业农村局</w:t>
            </w:r>
          </w:p>
        </w:tc>
        <w:tc>
          <w:tcPr>
            <w:tcW w:w="4244" w:type="dxa"/>
            <w:vAlign w:val="center"/>
          </w:tcPr>
          <w:p>
            <w:pPr>
              <w:widowControl/>
              <w:overflowPunct w:val="0"/>
              <w:autoSpaceDE w:val="0"/>
              <w:autoSpaceDN w:val="0"/>
              <w:adjustRightInd w:val="0"/>
              <w:snapToGrid w:val="0"/>
              <w:ind w:right="34" w:rightChars="16"/>
              <w:jc w:val="center"/>
              <w:textAlignment w:val="baseline"/>
              <w:rPr>
                <w:rFonts w:eastAsia="仿宋_GB2312"/>
                <w:snapToGrid w:val="0"/>
                <w:color w:val="000000"/>
                <w:kern w:val="0"/>
                <w:sz w:val="24"/>
              </w:rPr>
            </w:pPr>
            <w:r>
              <w:rPr>
                <w:rFonts w:eastAsia="仿宋_GB2312"/>
                <w:sz w:val="24"/>
              </w:rPr>
              <w:t>市水利局、市乡村振兴局，各县（市、区）政府、五台山风景区管委会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27</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推进生态旅游品牌建设</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napToGrid w:val="0"/>
                <w:color w:val="000000"/>
                <w:kern w:val="0"/>
                <w:sz w:val="24"/>
              </w:rPr>
              <w:t>市文旅局</w:t>
            </w:r>
          </w:p>
        </w:tc>
        <w:tc>
          <w:tcPr>
            <w:tcW w:w="4244" w:type="dxa"/>
            <w:vAlign w:val="center"/>
          </w:tcPr>
          <w:p>
            <w:pPr>
              <w:widowControl/>
              <w:overflowPunct w:val="0"/>
              <w:autoSpaceDE w:val="0"/>
              <w:autoSpaceDN w:val="0"/>
              <w:adjustRightInd w:val="0"/>
              <w:snapToGrid w:val="0"/>
              <w:ind w:right="34" w:rightChars="16"/>
              <w:jc w:val="center"/>
              <w:textAlignment w:val="baseline"/>
              <w:rPr>
                <w:rFonts w:eastAsia="仿宋_GB2312"/>
                <w:snapToGrid w:val="0"/>
                <w:color w:val="000000"/>
                <w:kern w:val="0"/>
                <w:sz w:val="24"/>
              </w:rPr>
            </w:pPr>
            <w:r>
              <w:rPr>
                <w:rFonts w:eastAsia="仿宋_GB2312"/>
                <w:sz w:val="24"/>
              </w:rPr>
              <w:t>市交通局、市</w:t>
            </w:r>
            <w:r>
              <w:rPr>
                <w:rFonts w:hint="eastAsia" w:eastAsia="仿宋_GB2312"/>
                <w:sz w:val="24"/>
                <w:lang w:eastAsia="zh-CN"/>
              </w:rPr>
              <w:t>规划和自然资源局</w:t>
            </w:r>
            <w:r>
              <w:rPr>
                <w:rFonts w:eastAsia="仿宋_GB2312"/>
                <w:sz w:val="24"/>
              </w:rPr>
              <w:t>、市水利局，各县（市、区）政府、五台山风景区管委会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806" w:type="dxa"/>
            <w:vAlign w:val="center"/>
          </w:tcPr>
          <w:p>
            <w:pPr>
              <w:widowControl/>
              <w:overflowPunct w:val="0"/>
              <w:autoSpaceDE w:val="0"/>
              <w:autoSpaceDN w:val="0"/>
              <w:adjustRightInd w:val="0"/>
              <w:snapToGrid w:val="0"/>
              <w:jc w:val="center"/>
              <w:textAlignment w:val="baseline"/>
              <w:rPr>
                <w:rFonts w:eastAsia="仿宋_GB2312"/>
                <w:color w:val="000000"/>
                <w:kern w:val="0"/>
                <w:sz w:val="22"/>
                <w:szCs w:val="22"/>
              </w:rPr>
            </w:pPr>
            <w:r>
              <w:rPr>
                <w:rFonts w:eastAsia="仿宋_GB2312"/>
                <w:sz w:val="24"/>
              </w:rPr>
              <w:t>28</w:t>
            </w:r>
          </w:p>
        </w:tc>
        <w:tc>
          <w:tcPr>
            <w:tcW w:w="6025" w:type="dxa"/>
            <w:vAlign w:val="center"/>
          </w:tcPr>
          <w:p>
            <w:pPr>
              <w:widowControl/>
              <w:overflowPunct w:val="0"/>
              <w:autoSpaceDE w:val="0"/>
              <w:autoSpaceDN w:val="0"/>
              <w:adjustRightInd w:val="0"/>
              <w:snapToGrid w:val="0"/>
              <w:jc w:val="left"/>
              <w:textAlignment w:val="baseline"/>
              <w:rPr>
                <w:rFonts w:eastAsia="仿宋_GB2312"/>
                <w:sz w:val="24"/>
              </w:rPr>
            </w:pPr>
            <w:r>
              <w:rPr>
                <w:rFonts w:eastAsia="仿宋_GB2312"/>
                <w:sz w:val="24"/>
              </w:rPr>
              <w:t>市内外绿地联通，修复河湖水系，建设海绵城市</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市住建局</w:t>
            </w:r>
          </w:p>
        </w:tc>
        <w:tc>
          <w:tcPr>
            <w:tcW w:w="4244" w:type="dxa"/>
            <w:vAlign w:val="center"/>
          </w:tcPr>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市</w:t>
            </w:r>
            <w:r>
              <w:rPr>
                <w:rFonts w:hint="eastAsia" w:eastAsia="仿宋_GB2312"/>
                <w:sz w:val="24"/>
                <w:lang w:eastAsia="zh-CN"/>
              </w:rPr>
              <w:t>规划和自然资源局</w:t>
            </w:r>
            <w:r>
              <w:rPr>
                <w:rFonts w:eastAsia="仿宋_GB2312"/>
                <w:sz w:val="24"/>
              </w:rPr>
              <w:t>、市水利局，</w:t>
            </w:r>
          </w:p>
          <w:p>
            <w:pPr>
              <w:widowControl/>
              <w:overflowPunct w:val="0"/>
              <w:autoSpaceDE w:val="0"/>
              <w:autoSpaceDN w:val="0"/>
              <w:adjustRightInd w:val="0"/>
              <w:snapToGrid w:val="0"/>
              <w:jc w:val="center"/>
              <w:textAlignment w:val="baseline"/>
              <w:rPr>
                <w:rFonts w:eastAsia="仿宋_GB2312"/>
                <w:sz w:val="24"/>
              </w:rPr>
            </w:pPr>
            <w:r>
              <w:rPr>
                <w:rFonts w:eastAsia="仿宋_GB2312"/>
                <w:sz w:val="24"/>
              </w:rPr>
              <w:t>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3353" w:type="dxa"/>
            <w:gridSpan w:val="4"/>
            <w:vAlign w:val="center"/>
          </w:tcPr>
          <w:p>
            <w:pPr>
              <w:widowControl/>
              <w:overflowPunct w:val="0"/>
              <w:autoSpaceDE w:val="0"/>
              <w:autoSpaceDN w:val="0"/>
              <w:adjustRightInd w:val="0"/>
              <w:snapToGrid w:val="0"/>
              <w:ind w:right="34" w:rightChars="16"/>
              <w:jc w:val="center"/>
              <w:textAlignment w:val="baseline"/>
              <w:rPr>
                <w:rFonts w:eastAsia="仿宋_GB2312"/>
                <w:sz w:val="24"/>
              </w:rPr>
            </w:pPr>
            <w:r>
              <w:rPr>
                <w:rFonts w:eastAsia="仿宋_GB2312"/>
                <w:b/>
                <w:bCs/>
                <w:sz w:val="24"/>
              </w:rPr>
              <w:t>大力提升水土保持管理能力和水平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806"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序号</w:t>
            </w:r>
          </w:p>
        </w:tc>
        <w:tc>
          <w:tcPr>
            <w:tcW w:w="6025"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工作任务</w:t>
            </w:r>
          </w:p>
        </w:tc>
        <w:tc>
          <w:tcPr>
            <w:tcW w:w="2278"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牵头单位</w:t>
            </w:r>
          </w:p>
        </w:tc>
        <w:tc>
          <w:tcPr>
            <w:tcW w:w="4244" w:type="dxa"/>
            <w:vAlign w:val="center"/>
          </w:tcPr>
          <w:p>
            <w:pPr>
              <w:widowControl/>
              <w:overflowPunct w:val="0"/>
              <w:autoSpaceDE w:val="0"/>
              <w:autoSpaceDN w:val="0"/>
              <w:adjustRightInd w:val="0"/>
              <w:snapToGrid w:val="0"/>
              <w:jc w:val="center"/>
              <w:textAlignment w:val="baseline"/>
              <w:rPr>
                <w:rFonts w:eastAsia="仿宋_GB2312"/>
                <w:b/>
                <w:bCs/>
                <w:snapToGrid w:val="0"/>
                <w:color w:val="000000"/>
                <w:kern w:val="0"/>
                <w:sz w:val="28"/>
                <w:szCs w:val="28"/>
              </w:rPr>
            </w:pPr>
            <w:r>
              <w:rPr>
                <w:rFonts w:eastAsia="仿宋_GB2312"/>
                <w:b/>
                <w:bCs/>
                <w:sz w:val="28"/>
                <w:szCs w:val="28"/>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snapToGrid w:val="0"/>
                <w:color w:val="000000"/>
                <w:kern w:val="0"/>
                <w:sz w:val="24"/>
              </w:rPr>
              <w:t>29</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完善水土保持规划体系，强化规划空间约束和管控力</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224"/>
              <w:jc w:val="center"/>
              <w:textAlignment w:val="baseline"/>
              <w:rPr>
                <w:rFonts w:eastAsia="仿宋_GB2312"/>
                <w:snapToGrid w:val="0"/>
                <w:color w:val="000000"/>
                <w:kern w:val="0"/>
                <w:sz w:val="24"/>
              </w:rPr>
            </w:pPr>
            <w:r>
              <w:rPr>
                <w:rFonts w:eastAsia="仿宋_GB2312"/>
                <w:sz w:val="24"/>
              </w:rPr>
              <w:t>市</w:t>
            </w:r>
            <w:r>
              <w:rPr>
                <w:rFonts w:hint="eastAsia" w:eastAsia="仿宋_GB2312"/>
                <w:sz w:val="24"/>
                <w:lang w:eastAsia="zh-CN"/>
              </w:rPr>
              <w:t>规划和自然资源局</w:t>
            </w:r>
            <w:r>
              <w:rPr>
                <w:rFonts w:eastAsia="仿宋_GB2312"/>
                <w:sz w:val="24"/>
              </w:rPr>
              <w:t>，各县（市、区）政府、五台山风景区管委会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30</w:t>
            </w:r>
          </w:p>
        </w:tc>
        <w:tc>
          <w:tcPr>
            <w:tcW w:w="6025" w:type="dxa"/>
            <w:vAlign w:val="center"/>
          </w:tcPr>
          <w:p>
            <w:pPr>
              <w:widowControl/>
              <w:overflowPunct w:val="0"/>
              <w:autoSpaceDE w:val="0"/>
              <w:autoSpaceDN w:val="0"/>
              <w:adjustRightInd w:val="0"/>
              <w:snapToGrid w:val="0"/>
              <w:ind w:right="75"/>
              <w:jc w:val="left"/>
              <w:textAlignment w:val="baseline"/>
              <w:rPr>
                <w:rFonts w:eastAsia="仿宋_GB2312"/>
                <w:snapToGrid w:val="0"/>
                <w:color w:val="000000"/>
                <w:kern w:val="0"/>
                <w:sz w:val="24"/>
              </w:rPr>
            </w:pPr>
            <w:r>
              <w:rPr>
                <w:rFonts w:eastAsia="仿宋_GB2312"/>
                <w:sz w:val="24"/>
              </w:rPr>
              <w:t>建设高质量精品小流域和生态清洁小流域，推动绿色低碳发展</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43"/>
              <w:jc w:val="center"/>
              <w:textAlignment w:val="baseline"/>
              <w:rPr>
                <w:rFonts w:eastAsia="仿宋_GB2312"/>
                <w:snapToGrid w:val="0"/>
                <w:color w:val="000000"/>
                <w:kern w:val="0"/>
                <w:sz w:val="24"/>
              </w:rPr>
            </w:pPr>
            <w:r>
              <w:rPr>
                <w:rFonts w:eastAsia="仿宋_GB2312"/>
                <w:sz w:val="24"/>
              </w:rPr>
              <w:t>市农业农村局、市</w:t>
            </w:r>
            <w:r>
              <w:rPr>
                <w:rFonts w:hint="eastAsia" w:eastAsia="仿宋_GB2312"/>
                <w:sz w:val="24"/>
                <w:lang w:eastAsia="zh-CN"/>
              </w:rPr>
              <w:t>规划和自然资源局</w:t>
            </w:r>
            <w:r>
              <w:rPr>
                <w:rFonts w:eastAsia="仿宋_GB2312"/>
                <w:sz w:val="24"/>
              </w:rPr>
              <w:t>，市乡村振兴局，各县（市、区）政府、五台山风景区管委会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31</w:t>
            </w:r>
          </w:p>
        </w:tc>
        <w:tc>
          <w:tcPr>
            <w:tcW w:w="6025" w:type="dxa"/>
            <w:vAlign w:val="center"/>
          </w:tcPr>
          <w:p>
            <w:pPr>
              <w:widowControl/>
              <w:overflowPunct w:val="0"/>
              <w:autoSpaceDE w:val="0"/>
              <w:autoSpaceDN w:val="0"/>
              <w:adjustRightInd w:val="0"/>
              <w:snapToGrid w:val="0"/>
              <w:jc w:val="left"/>
              <w:textAlignment w:val="baseline"/>
              <w:rPr>
                <w:rFonts w:eastAsia="仿宋_GB2312"/>
                <w:sz w:val="24"/>
              </w:rPr>
            </w:pPr>
            <w:r>
              <w:rPr>
                <w:rFonts w:eastAsia="仿宋_GB2312"/>
                <w:sz w:val="24"/>
              </w:rPr>
              <w:t>积极推行水土保持工程建设以奖代补、以工代赈等建设</w:t>
            </w:r>
          </w:p>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模式</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市发展改革委、市财政局，各县（市、区）政府、五台山风景区管委会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32</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扶持100个水保生态经济专业户</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ind w:right="63"/>
              <w:jc w:val="center"/>
              <w:textAlignment w:val="baseline"/>
              <w:rPr>
                <w:rFonts w:eastAsia="仿宋_GB2312"/>
                <w:sz w:val="24"/>
              </w:rPr>
            </w:pPr>
            <w:r>
              <w:rPr>
                <w:rFonts w:eastAsia="仿宋_GB2312"/>
                <w:sz w:val="24"/>
              </w:rPr>
              <w:t>市</w:t>
            </w:r>
            <w:r>
              <w:rPr>
                <w:rFonts w:hint="eastAsia" w:eastAsia="仿宋_GB2312"/>
                <w:sz w:val="24"/>
                <w:lang w:eastAsia="zh-CN"/>
              </w:rPr>
              <w:t>规划和自然资源局</w:t>
            </w:r>
            <w:r>
              <w:rPr>
                <w:rFonts w:eastAsia="仿宋_GB2312"/>
                <w:sz w:val="24"/>
              </w:rPr>
              <w:t>、市乡村振兴局、</w:t>
            </w:r>
          </w:p>
          <w:p>
            <w:pPr>
              <w:widowControl/>
              <w:overflowPunct w:val="0"/>
              <w:autoSpaceDE w:val="0"/>
              <w:autoSpaceDN w:val="0"/>
              <w:adjustRightInd w:val="0"/>
              <w:snapToGrid w:val="0"/>
              <w:ind w:right="63"/>
              <w:jc w:val="center"/>
              <w:textAlignment w:val="baseline"/>
              <w:rPr>
                <w:rFonts w:eastAsia="仿宋_GB2312"/>
                <w:snapToGrid w:val="0"/>
                <w:color w:val="000000"/>
                <w:kern w:val="0"/>
                <w:sz w:val="24"/>
              </w:rPr>
            </w:pPr>
            <w:r>
              <w:rPr>
                <w:rFonts w:eastAsia="仿宋_GB2312"/>
                <w:sz w:val="24"/>
              </w:rPr>
              <w:t>市农业农村局，相关县（市、区）政府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33</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划定淤地坝工程管理保护范围，完善淤地坝监管信息平台</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hint="eastAsia" w:eastAsia="仿宋_GB2312"/>
                <w:snapToGrid w:val="0"/>
                <w:color w:val="000000"/>
                <w:kern w:val="0"/>
                <w:sz w:val="24"/>
                <w:lang w:eastAsia="zh-CN"/>
              </w:rPr>
            </w:pPr>
            <w:r>
              <w:rPr>
                <w:rFonts w:eastAsia="仿宋_GB2312"/>
                <w:sz w:val="24"/>
              </w:rPr>
              <w:t>市</w:t>
            </w:r>
            <w:r>
              <w:rPr>
                <w:rFonts w:hint="eastAsia" w:eastAsia="仿宋_GB2312"/>
                <w:sz w:val="24"/>
                <w:lang w:eastAsia="zh-CN"/>
              </w:rPr>
              <w:t>规划和自然资源局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34</w:t>
            </w:r>
          </w:p>
        </w:tc>
        <w:tc>
          <w:tcPr>
            <w:tcW w:w="6025" w:type="dxa"/>
            <w:vAlign w:val="center"/>
          </w:tcPr>
          <w:p>
            <w:pPr>
              <w:widowControl/>
              <w:overflowPunct w:val="0"/>
              <w:autoSpaceDE w:val="0"/>
              <w:autoSpaceDN w:val="0"/>
              <w:adjustRightInd w:val="0"/>
              <w:snapToGrid w:val="0"/>
              <w:jc w:val="left"/>
              <w:textAlignment w:val="baseline"/>
              <w:rPr>
                <w:rFonts w:eastAsia="仿宋_GB2312"/>
                <w:snapToGrid w:val="0"/>
                <w:color w:val="000000"/>
                <w:kern w:val="0"/>
                <w:sz w:val="24"/>
              </w:rPr>
            </w:pPr>
            <w:r>
              <w:rPr>
                <w:rFonts w:eastAsia="仿宋_GB2312"/>
                <w:sz w:val="24"/>
              </w:rPr>
              <w:t>开展水土保持目标责任考核</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各县（市、区）政府、五台山风景区管委会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35</w:t>
            </w:r>
          </w:p>
        </w:tc>
        <w:tc>
          <w:tcPr>
            <w:tcW w:w="6025" w:type="dxa"/>
            <w:vAlign w:val="center"/>
          </w:tcPr>
          <w:p>
            <w:pPr>
              <w:widowControl/>
              <w:overflowPunct w:val="0"/>
              <w:autoSpaceDE w:val="0"/>
              <w:autoSpaceDN w:val="0"/>
              <w:adjustRightInd w:val="0"/>
              <w:snapToGrid w:val="0"/>
              <w:ind w:right="14"/>
              <w:jc w:val="left"/>
              <w:textAlignment w:val="baseline"/>
              <w:rPr>
                <w:rFonts w:eastAsia="仿宋_GB2312"/>
                <w:snapToGrid w:val="0"/>
                <w:color w:val="000000"/>
                <w:kern w:val="0"/>
                <w:sz w:val="24"/>
              </w:rPr>
            </w:pPr>
            <w:r>
              <w:rPr>
                <w:rFonts w:eastAsia="仿宋_GB2312"/>
                <w:sz w:val="24"/>
              </w:rPr>
              <w:t>完善监测站网体系，开展水土保持专项调查，强化监测成果分析、评价与运用</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806" w:type="dxa"/>
            <w:vAlign w:val="center"/>
          </w:tcPr>
          <w:p>
            <w:pPr>
              <w:widowControl/>
              <w:overflowPunct w:val="0"/>
              <w:jc w:val="center"/>
              <w:textAlignment w:val="center"/>
              <w:rPr>
                <w:rFonts w:eastAsia="仿宋_GB2312"/>
                <w:snapToGrid w:val="0"/>
                <w:color w:val="000000"/>
                <w:kern w:val="0"/>
                <w:sz w:val="24"/>
              </w:rPr>
            </w:pPr>
            <w:r>
              <w:rPr>
                <w:rFonts w:eastAsia="仿宋_GB2312"/>
                <w:color w:val="000000"/>
                <w:kern w:val="0"/>
                <w:sz w:val="22"/>
                <w:szCs w:val="22"/>
              </w:rPr>
              <w:t>36</w:t>
            </w:r>
          </w:p>
        </w:tc>
        <w:tc>
          <w:tcPr>
            <w:tcW w:w="6025" w:type="dxa"/>
            <w:vAlign w:val="center"/>
          </w:tcPr>
          <w:p>
            <w:pPr>
              <w:widowControl/>
              <w:overflowPunct w:val="0"/>
              <w:autoSpaceDE w:val="0"/>
              <w:autoSpaceDN w:val="0"/>
              <w:adjustRightInd w:val="0"/>
              <w:snapToGrid w:val="0"/>
              <w:ind w:right="233"/>
              <w:jc w:val="left"/>
              <w:textAlignment w:val="baseline"/>
              <w:rPr>
                <w:rFonts w:eastAsia="仿宋_GB2312"/>
                <w:snapToGrid w:val="0"/>
                <w:color w:val="000000"/>
                <w:kern w:val="0"/>
                <w:sz w:val="24"/>
              </w:rPr>
            </w:pPr>
            <w:r>
              <w:rPr>
                <w:rFonts w:eastAsia="仿宋_GB2312"/>
                <w:sz w:val="24"/>
              </w:rPr>
              <w:t>加强科技成果转化和技术推广；推进智慧水保建设</w:t>
            </w:r>
          </w:p>
        </w:tc>
        <w:tc>
          <w:tcPr>
            <w:tcW w:w="2278"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市水利局</w:t>
            </w:r>
          </w:p>
        </w:tc>
        <w:tc>
          <w:tcPr>
            <w:tcW w:w="4244" w:type="dxa"/>
            <w:vAlign w:val="center"/>
          </w:tcPr>
          <w:p>
            <w:pPr>
              <w:widowControl/>
              <w:overflowPunct w:val="0"/>
              <w:autoSpaceDE w:val="0"/>
              <w:autoSpaceDN w:val="0"/>
              <w:adjustRightInd w:val="0"/>
              <w:snapToGrid w:val="0"/>
              <w:jc w:val="center"/>
              <w:textAlignment w:val="baseline"/>
              <w:rPr>
                <w:rFonts w:eastAsia="仿宋_GB2312"/>
                <w:snapToGrid w:val="0"/>
                <w:color w:val="000000"/>
                <w:kern w:val="0"/>
                <w:sz w:val="24"/>
              </w:rPr>
            </w:pPr>
            <w:r>
              <w:rPr>
                <w:rFonts w:eastAsia="仿宋_GB2312"/>
                <w:sz w:val="24"/>
              </w:rPr>
              <w:t>市科技局</w:t>
            </w:r>
          </w:p>
        </w:tc>
      </w:tr>
    </w:tbl>
    <w:p>
      <w:pPr>
        <w:widowControl/>
        <w:overflowPunct w:val="0"/>
        <w:autoSpaceDE w:val="0"/>
        <w:autoSpaceDN w:val="0"/>
        <w:adjustRightInd w:val="0"/>
        <w:snapToGrid w:val="0"/>
        <w:jc w:val="center"/>
        <w:textAlignment w:val="baseline"/>
        <w:rPr>
          <w:rFonts w:hint="eastAsia" w:ascii="宋体" w:hAnsi="宋体" w:cs="宋体"/>
          <w:sz w:val="24"/>
        </w:rPr>
        <w:sectPr>
          <w:footerReference r:id="rId5" w:type="default"/>
          <w:footerReference r:id="rId6" w:type="even"/>
          <w:pgSz w:w="16840" w:h="11900"/>
          <w:pgMar w:top="1304" w:right="1701" w:bottom="1134" w:left="1701" w:header="0" w:footer="794" w:gutter="0"/>
          <w:pgNumType w:fmt="numberInDash" w:start="12"/>
          <w:cols w:space="720" w:num="1"/>
        </w:sectPr>
      </w:pPr>
    </w:p>
    <w:p>
      <w:pPr>
        <w:widowControl/>
        <w:overflowPunct w:val="0"/>
        <w:autoSpaceDE w:val="0"/>
        <w:autoSpaceDN w:val="0"/>
        <w:adjustRightInd w:val="0"/>
        <w:snapToGrid w:val="0"/>
        <w:spacing w:afterLines="50" w:line="500" w:lineRule="exact"/>
        <w:ind w:left="6" w:hanging="6"/>
        <w:textAlignment w:val="baseline"/>
        <w:rPr>
          <w:rFonts w:eastAsia="仿宋_GB2312"/>
          <w:sz w:val="32"/>
          <w:szCs w:val="32"/>
        </w:rPr>
      </w:pPr>
      <w:r>
        <w:rPr>
          <w:rFonts w:eastAsia="仿宋_GB2312"/>
          <w:sz w:val="32"/>
          <w:szCs w:val="32"/>
        </w:rPr>
        <w:t>附件2</w:t>
      </w:r>
      <w:r>
        <w:rPr>
          <w:rFonts w:hint="eastAsia" w:eastAsia="仿宋_GB2312"/>
          <w:sz w:val="32"/>
          <w:szCs w:val="32"/>
        </w:rPr>
        <w:t>：</w:t>
      </w:r>
    </w:p>
    <w:p>
      <w:pPr>
        <w:widowControl/>
        <w:overflowPunct w:val="0"/>
        <w:autoSpaceDE w:val="0"/>
        <w:autoSpaceDN w:val="0"/>
        <w:adjustRightInd w:val="0"/>
        <w:snapToGrid w:val="0"/>
        <w:spacing w:afterLines="50" w:line="500" w:lineRule="exact"/>
        <w:ind w:left="6" w:hanging="6"/>
        <w:jc w:val="center"/>
        <w:textAlignment w:val="baseline"/>
        <w:rPr>
          <w:rFonts w:hint="eastAsia" w:ascii="方正大标宋简体" w:hAnsi="方正小标宋简体" w:eastAsia="方正大标宋简体" w:cs="方正小标宋简体"/>
          <w:sz w:val="44"/>
          <w:szCs w:val="44"/>
        </w:rPr>
      </w:pPr>
      <w:r>
        <w:rPr>
          <w:rFonts w:hint="eastAsia" w:ascii="方正大标宋简体" w:hAnsi="方正小标宋简体" w:eastAsia="方正大标宋简体" w:cs="方正小标宋简体"/>
          <w:sz w:val="44"/>
          <w:szCs w:val="44"/>
        </w:rPr>
        <w:t>全市水土保持率目标值分解表</w:t>
      </w:r>
    </w:p>
    <w:tbl>
      <w:tblPr>
        <w:tblStyle w:val="157"/>
        <w:tblW w:w="49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52"/>
        <w:gridCol w:w="2871"/>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Merge w:val="restart"/>
            <w:tcBorders>
              <w:bottom w:val="nil"/>
            </w:tcBorders>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b/>
                <w:bCs/>
                <w:sz w:val="24"/>
              </w:rPr>
              <w:t>县级行政区</w:t>
            </w:r>
          </w:p>
        </w:tc>
        <w:tc>
          <w:tcPr>
            <w:tcW w:w="3342" w:type="pct"/>
            <w:gridSpan w:val="2"/>
            <w:vAlign w:val="center"/>
          </w:tcPr>
          <w:p>
            <w:pPr>
              <w:widowControl/>
              <w:overflowPunct w:val="0"/>
              <w:autoSpaceDE w:val="0"/>
              <w:autoSpaceDN w:val="0"/>
              <w:adjustRightInd w:val="0"/>
              <w:snapToGrid w:val="0"/>
              <w:spacing w:line="320" w:lineRule="exact"/>
              <w:jc w:val="center"/>
              <w:textAlignment w:val="baseline"/>
              <w:rPr>
                <w:rFonts w:eastAsia="仿宋_GB2312"/>
                <w:b/>
                <w:bCs/>
                <w:sz w:val="24"/>
              </w:rPr>
            </w:pPr>
            <w:r>
              <w:rPr>
                <w:rFonts w:eastAsia="仿宋_GB2312"/>
                <w:b/>
                <w:bCs/>
                <w:sz w:val="24"/>
              </w:rPr>
              <w:t>水土保持率目标值(%)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Merge w:val="continue"/>
            <w:tcBorders>
              <w:top w:val="nil"/>
            </w:tcBorders>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b/>
                <w:bCs/>
                <w:sz w:val="24"/>
              </w:rPr>
            </w:pPr>
            <w:r>
              <w:rPr>
                <w:rFonts w:eastAsia="仿宋_GB2312"/>
                <w:b/>
                <w:bCs/>
                <w:sz w:val="24"/>
              </w:rPr>
              <w:t>2025年</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b/>
                <w:bCs/>
                <w:sz w:val="24"/>
              </w:rPr>
            </w:pPr>
            <w:r>
              <w:rPr>
                <w:rFonts w:eastAsia="仿宋_GB2312"/>
                <w:b/>
                <w:bCs/>
                <w:sz w:val="24"/>
              </w:rPr>
              <w:t>2035年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忻府区</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71.36</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原平市</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67.59</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定襄县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76.11</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81.59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五台县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65.12</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代  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64.55</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繁峙县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68.7</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宁武县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56.04</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静乐县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67.02</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神池县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73.23</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五寨县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70.81</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岢岚县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55.66</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河曲县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51.27</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保德县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42.89</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偏关县</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52.09</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52.25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657"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全  市</w:t>
            </w:r>
          </w:p>
        </w:tc>
        <w:tc>
          <w:tcPr>
            <w:tcW w:w="1668"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63.56</w:t>
            </w:r>
          </w:p>
        </w:tc>
        <w:tc>
          <w:tcPr>
            <w:tcW w:w="1673" w:type="pct"/>
            <w:vAlign w:val="center"/>
          </w:tcPr>
          <w:p>
            <w:pPr>
              <w:widowControl/>
              <w:overflowPunct w:val="0"/>
              <w:autoSpaceDE w:val="0"/>
              <w:autoSpaceDN w:val="0"/>
              <w:adjustRightInd w:val="0"/>
              <w:snapToGrid w:val="0"/>
              <w:spacing w:line="320" w:lineRule="exact"/>
              <w:jc w:val="center"/>
              <w:textAlignment w:val="baseline"/>
              <w:rPr>
                <w:rFonts w:eastAsia="仿宋_GB2312"/>
                <w:sz w:val="24"/>
              </w:rPr>
            </w:pPr>
            <w:r>
              <w:rPr>
                <w:rFonts w:eastAsia="仿宋_GB2312"/>
                <w:sz w:val="24"/>
              </w:rPr>
              <w:t>66.22</w:t>
            </w:r>
          </w:p>
        </w:tc>
      </w:tr>
    </w:tbl>
    <w:p>
      <w:pPr>
        <w:pStyle w:val="61"/>
        <w:widowControl w:val="0"/>
        <w:spacing w:line="60" w:lineRule="exact"/>
        <w:ind w:firstLine="640" w:firstLineChars="200"/>
        <w:rPr>
          <w:rFonts w:eastAsia="仿宋_GB2312"/>
          <w:sz w:val="32"/>
          <w:szCs w:val="32"/>
        </w:rPr>
      </w:pPr>
    </w:p>
    <w:p>
      <w:pPr>
        <w:pStyle w:val="61"/>
        <w:widowControl w:val="0"/>
        <w:spacing w:line="60" w:lineRule="exact"/>
        <w:ind w:firstLine="640" w:firstLineChars="200"/>
        <w:rPr>
          <w:rFonts w:eastAsia="仿宋_GB2312"/>
          <w:sz w:val="32"/>
          <w:szCs w:val="32"/>
        </w:rPr>
      </w:pPr>
    </w:p>
    <w:p>
      <w:pPr>
        <w:pStyle w:val="61"/>
        <w:widowControl w:val="0"/>
        <w:spacing w:line="60" w:lineRule="exact"/>
        <w:ind w:firstLine="640" w:firstLineChars="200"/>
        <w:rPr>
          <w:rFonts w:eastAsia="仿宋_GB2312"/>
          <w:sz w:val="32"/>
          <w:szCs w:val="32"/>
        </w:rPr>
      </w:pPr>
    </w:p>
    <w:p>
      <w:pPr>
        <w:pStyle w:val="61"/>
        <w:widowControl w:val="0"/>
        <w:spacing w:line="60" w:lineRule="exact"/>
        <w:ind w:firstLine="640" w:firstLineChars="200"/>
        <w:rPr>
          <w:rFonts w:hint="eastAsia" w:eastAsia="仿宋_GB2312"/>
          <w:sz w:val="32"/>
          <w:szCs w:val="32"/>
        </w:rPr>
      </w:pPr>
    </w:p>
    <w:p>
      <w:pPr>
        <w:pStyle w:val="61"/>
        <w:widowControl w:val="0"/>
        <w:spacing w:line="60" w:lineRule="exact"/>
        <w:ind w:firstLine="640" w:firstLineChars="200"/>
        <w:rPr>
          <w:rFonts w:hint="eastAsia" w:eastAsia="仿宋_GB2312"/>
          <w:sz w:val="32"/>
          <w:szCs w:val="32"/>
        </w:rPr>
      </w:pPr>
    </w:p>
    <w:p>
      <w:pPr>
        <w:pStyle w:val="61"/>
        <w:widowControl w:val="0"/>
        <w:spacing w:line="60" w:lineRule="exact"/>
        <w:ind w:firstLine="640" w:firstLineChars="200"/>
        <w:rPr>
          <w:rFonts w:hAnsi="仿宋_GB2312" w:eastAsia="仿宋_GB2312"/>
          <w:sz w:val="32"/>
          <w:szCs w:val="32"/>
        </w:rPr>
      </w:pPr>
    </w:p>
    <w:p>
      <w:pPr>
        <w:spacing w:line="500" w:lineRule="exact"/>
        <w:rPr>
          <w:rFonts w:eastAsia="仿宋_GB2312"/>
          <w:color w:val="000000"/>
          <w:kern w:val="0"/>
          <w:sz w:val="28"/>
          <w:szCs w:val="28"/>
        </w:rPr>
      </w:pPr>
      <w:r>
        <w:rPr>
          <w:rFonts w:eastAsia="仿宋_GB2312"/>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31750</wp:posOffset>
                </wp:positionV>
                <wp:extent cx="5600700" cy="0"/>
                <wp:effectExtent l="0" t="5715" r="0" b="6350"/>
                <wp:wrapNone/>
                <wp:docPr id="3" name="直线 745"/>
                <wp:cNvGraphicFramePr/>
                <a:graphic xmlns:a="http://schemas.openxmlformats.org/drawingml/2006/main">
                  <a:graphicData uri="http://schemas.microsoft.com/office/word/2010/wordprocessingShape">
                    <wps:wsp>
                      <wps:cNvCnPr/>
                      <wps:spPr>
                        <a:xfrm>
                          <a:off x="0" y="0"/>
                          <a:ext cx="5600700" cy="0"/>
                        </a:xfrm>
                        <a:prstGeom prst="line">
                          <a:avLst/>
                        </a:prstGeom>
                        <a:ln w="12065" cap="flat" cmpd="sng">
                          <a:solidFill>
                            <a:srgbClr val="000000"/>
                          </a:solidFill>
                          <a:prstDash val="solid"/>
                          <a:headEnd type="none" w="med" len="med"/>
                          <a:tailEnd type="none" w="med" len="med"/>
                        </a:ln>
                      </wps:spPr>
                      <wps:bodyPr upright="1"/>
                    </wps:wsp>
                  </a:graphicData>
                </a:graphic>
              </wp:anchor>
            </w:drawing>
          </mc:Choice>
          <mc:Fallback>
            <w:pict>
              <v:line id="直线 745" o:spid="_x0000_s1026" o:spt="20" style="position:absolute;left:0pt;margin-top:2.5pt;height:0pt;width:441pt;mso-position-horizontal:center;z-index:251661312;mso-width-relative:page;mso-height-relative:page;" filled="f" stroked="t" coordsize="21600,21600" o:gfxdata="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gofnNMAAAAEAQAADwAAAAAAAAABACAAAAA4AAAAZHJzL2Rvd25yZXYu&#10;eG1sUEsBAhQAFAAAAAgAh07iQDrEwIzqAQAA3gMAAA4AAAAAAAAAAQAgAAAAOAEAAGRycy9lMm9E&#10;b2MueG1sUEsFBgAAAAAGAAYAWQEAAJQFAAAAAA==&#10;">
                <v:fill on="f" focussize="0,0"/>
                <v:stroke weight="0.95pt" color="#000000" joinstyle="round"/>
                <v:imagedata o:title=""/>
                <o:lock v:ext="edit" aspectratio="f"/>
              </v:line>
            </w:pict>
          </mc:Fallback>
        </mc:AlternateContent>
      </w:r>
      <w:r>
        <w:rPr>
          <w:rFonts w:eastAsia="仿宋_GB2312"/>
          <w:color w:val="000000"/>
          <w:kern w:val="0"/>
          <w:sz w:val="28"/>
          <w:szCs w:val="28"/>
        </w:rPr>
        <w:t xml:space="preserve">  抄送：市委办公室，市人大常委会办公室，市政协办公室，市中级法 </w:t>
      </w:r>
    </w:p>
    <w:p>
      <w:pPr>
        <w:spacing w:line="500" w:lineRule="exact"/>
        <w:ind w:firstLine="1176" w:firstLineChars="420"/>
        <w:rPr>
          <w:rFonts w:eastAsia="仿宋_GB2312"/>
          <w:color w:val="000000"/>
          <w:kern w:val="0"/>
          <w:sz w:val="28"/>
          <w:szCs w:val="28"/>
        </w:rPr>
      </w:pPr>
      <w:r>
        <w:rPr>
          <w:rFonts w:eastAsia="仿宋_GB2312"/>
          <w:color w:val="000000"/>
          <w:kern w:val="0"/>
          <w:sz w:val="28"/>
          <w:szCs w:val="28"/>
        </w:rPr>
        <w:t xml:space="preserve">院，市检察院。 </w:t>
      </w:r>
    </w:p>
    <w:p>
      <w:pPr>
        <w:spacing w:line="500" w:lineRule="exact"/>
        <w:rPr>
          <w:rFonts w:eastAsia="仿宋_GB2312"/>
          <w:color w:val="000000"/>
          <w:kern w:val="0"/>
          <w:sz w:val="28"/>
          <w:szCs w:val="28"/>
        </w:rPr>
      </w:pPr>
      <w:r>
        <w:rPr>
          <w:rFonts w:eastAsia="仿宋_GB2312"/>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34925</wp:posOffset>
                </wp:positionV>
                <wp:extent cx="5600700" cy="0"/>
                <wp:effectExtent l="0" t="4445" r="0" b="5080"/>
                <wp:wrapNone/>
                <wp:docPr id="1" name="直线 743"/>
                <wp:cNvGraphicFramePr/>
                <a:graphic xmlns:a="http://schemas.openxmlformats.org/drawingml/2006/main">
                  <a:graphicData uri="http://schemas.microsoft.com/office/word/2010/wordprocessingShape">
                    <wps:wsp>
                      <wps:cNvCnPr/>
                      <wps:spPr>
                        <a:xfrm>
                          <a:off x="0" y="0"/>
                          <a:ext cx="5600700" cy="0"/>
                        </a:xfrm>
                        <a:prstGeom prst="line">
                          <a:avLst/>
                        </a:prstGeom>
                        <a:ln w="6985" cap="flat" cmpd="sng">
                          <a:solidFill>
                            <a:srgbClr val="000000"/>
                          </a:solidFill>
                          <a:prstDash val="solid"/>
                          <a:headEnd type="none" w="med" len="med"/>
                          <a:tailEnd type="none" w="med" len="med"/>
                        </a:ln>
                      </wps:spPr>
                      <wps:bodyPr upright="1"/>
                    </wps:wsp>
                  </a:graphicData>
                </a:graphic>
              </wp:anchor>
            </w:drawing>
          </mc:Choice>
          <mc:Fallback>
            <w:pict>
              <v:line id="直线 743" o:spid="_x0000_s1026" o:spt="20" style="position:absolute;left:0pt;margin-left:0.75pt;margin-top:2.75pt;height:0pt;width:441pt;z-index:251659264;mso-width-relative:page;mso-height-relative:page;" filled="f" stroked="t" coordsize="21600,21600" o:gfxdata="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8XXMdMAAAAFAQAADwAAAAAAAAABACAAAAA4AAAAZHJzL2Rvd25yZXYu&#10;eG1sUEsBAhQAFAAAAAgAh07iQJUfi5LqAQAA3QMAAA4AAAAAAAAAAQAgAAAAOAEAAGRycy9lMm9E&#10;b2MueG1sUEsFBgAAAAAGAAYAWQEAAJQFAAAAAA==&#10;">
                <v:fill on="f" focussize="0,0"/>
                <v:stroke weight="0.55pt" color="#000000" joinstyle="round"/>
                <v:imagedata o:title=""/>
                <o:lock v:ext="edit" aspectratio="f"/>
              </v:line>
            </w:pict>
          </mc:Fallback>
        </mc:AlternateContent>
      </w:r>
      <w:r>
        <w:rPr>
          <w:rFonts w:eastAsia="仿宋_GB2312"/>
          <w:color w:val="000000"/>
          <w:kern w:val="0"/>
          <w:sz w:val="28"/>
          <w:szCs w:val="28"/>
        </w:rPr>
        <w:t xml:space="preserve">  忻州市人民政府办公室      </w:t>
      </w:r>
      <w:r>
        <w:rPr>
          <w:rFonts w:hint="eastAsia" w:eastAsia="仿宋_GB2312"/>
          <w:color w:val="000000"/>
          <w:kern w:val="0"/>
          <w:sz w:val="28"/>
          <w:szCs w:val="28"/>
        </w:rPr>
        <w:t xml:space="preserve"> </w:t>
      </w:r>
      <w:r>
        <w:rPr>
          <w:rFonts w:eastAsia="仿宋_GB2312"/>
          <w:color w:val="000000"/>
          <w:kern w:val="0"/>
          <w:sz w:val="28"/>
          <w:szCs w:val="28"/>
        </w:rPr>
        <w:t xml:space="preserve">    </w:t>
      </w:r>
      <w:r>
        <w:rPr>
          <w:rFonts w:hint="eastAsia" w:eastAsia="仿宋_GB2312"/>
          <w:color w:val="000000"/>
          <w:kern w:val="0"/>
          <w:sz w:val="28"/>
          <w:szCs w:val="28"/>
        </w:rPr>
        <w:t xml:space="preserve"> </w:t>
      </w:r>
      <w:r>
        <w:rPr>
          <w:rFonts w:eastAsia="仿宋_GB2312"/>
          <w:color w:val="000000"/>
          <w:kern w:val="0"/>
          <w:sz w:val="28"/>
          <w:szCs w:val="28"/>
        </w:rPr>
        <w:t xml:space="preserve"> </w:t>
      </w:r>
      <w:r>
        <w:rPr>
          <w:rFonts w:hint="eastAsia" w:eastAsia="仿宋_GB2312"/>
          <w:color w:val="000000"/>
          <w:kern w:val="0"/>
          <w:sz w:val="28"/>
          <w:szCs w:val="28"/>
        </w:rPr>
        <w:t xml:space="preserve"> </w:t>
      </w:r>
      <w:r>
        <w:rPr>
          <w:rFonts w:eastAsia="仿宋_GB2312"/>
          <w:color w:val="000000"/>
          <w:kern w:val="0"/>
          <w:sz w:val="28"/>
          <w:szCs w:val="28"/>
        </w:rPr>
        <w:t xml:space="preserve">   </w:t>
      </w:r>
      <w:r>
        <w:rPr>
          <w:rFonts w:hint="eastAsia" w:eastAsia="仿宋_GB2312"/>
          <w:color w:val="000000"/>
          <w:kern w:val="0"/>
          <w:sz w:val="28"/>
          <w:szCs w:val="28"/>
        </w:rPr>
        <w:t xml:space="preserve">  </w:t>
      </w:r>
      <w:r>
        <w:rPr>
          <w:rFonts w:eastAsia="仿宋_GB2312"/>
          <w:color w:val="000000"/>
          <w:kern w:val="0"/>
          <w:sz w:val="28"/>
          <w:szCs w:val="28"/>
        </w:rPr>
        <w:t xml:space="preserve">   202</w:t>
      </w:r>
      <w:r>
        <w:rPr>
          <w:rFonts w:hint="eastAsia" w:eastAsia="仿宋_GB2312"/>
          <w:color w:val="000000"/>
          <w:kern w:val="0"/>
          <w:sz w:val="28"/>
          <w:szCs w:val="28"/>
        </w:rPr>
        <w:t>4</w:t>
      </w:r>
      <w:r>
        <w:rPr>
          <w:rFonts w:eastAsia="仿宋_GB2312"/>
          <w:color w:val="000000"/>
          <w:kern w:val="0"/>
          <w:sz w:val="28"/>
          <w:szCs w:val="28"/>
        </w:rPr>
        <w:t>年</w:t>
      </w:r>
      <w:r>
        <w:rPr>
          <w:rFonts w:hint="eastAsia" w:eastAsia="仿宋_GB2312"/>
          <w:color w:val="000000"/>
          <w:kern w:val="0"/>
          <w:sz w:val="28"/>
          <w:szCs w:val="28"/>
        </w:rPr>
        <w:t>2</w:t>
      </w:r>
      <w:r>
        <w:rPr>
          <w:rFonts w:eastAsia="仿宋_GB2312"/>
          <w:color w:val="000000"/>
          <w:kern w:val="0"/>
          <w:sz w:val="28"/>
          <w:szCs w:val="28"/>
        </w:rPr>
        <w:t>月</w:t>
      </w:r>
      <w:r>
        <w:rPr>
          <w:rFonts w:hint="eastAsia" w:eastAsia="仿宋_GB2312"/>
          <w:color w:val="000000"/>
          <w:kern w:val="0"/>
          <w:sz w:val="28"/>
          <w:szCs w:val="28"/>
        </w:rPr>
        <w:t>4</w:t>
      </w:r>
      <w:r>
        <w:rPr>
          <w:rFonts w:eastAsia="仿宋_GB2312"/>
          <w:color w:val="000000"/>
          <w:kern w:val="0"/>
          <w:sz w:val="28"/>
          <w:szCs w:val="28"/>
        </w:rPr>
        <w:t xml:space="preserve">日印发 </w:t>
      </w:r>
    </w:p>
    <w:p>
      <w:pPr>
        <w:spacing w:line="500" w:lineRule="exact"/>
      </w:pPr>
      <w:r>
        <w:rPr>
          <w:rFonts w:eastAsia="仿宋_GB2312"/>
          <w:color w:val="000000"/>
          <w:kern w:val="0"/>
          <w:sz w:val="28"/>
          <w:szCs w:val="28"/>
        </w:rPr>
        <w:drawing>
          <wp:anchor distT="0" distB="0" distL="114300" distR="114300" simplePos="0" relativeHeight="251662336" behindDoc="0" locked="0" layoutInCell="1" allowOverlap="1">
            <wp:simplePos x="0" y="0"/>
            <wp:positionH relativeFrom="page">
              <wp:posOffset>4798060</wp:posOffset>
            </wp:positionH>
            <wp:positionV relativeFrom="page">
              <wp:posOffset>9626600</wp:posOffset>
            </wp:positionV>
            <wp:extent cx="1792605" cy="517525"/>
            <wp:effectExtent l="19050" t="0" r="0" b="0"/>
            <wp:wrapNone/>
            <wp:docPr id="746" name="图片 520"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520" descr="wps"/>
                    <pic:cNvPicPr>
                      <a:picLocks noChangeAspect="1" noChangeArrowheads="1"/>
                    </pic:cNvPicPr>
                  </pic:nvPicPr>
                  <pic:blipFill>
                    <a:blip r:embed="rId11"/>
                    <a:srcRect/>
                    <a:stretch>
                      <a:fillRect/>
                    </a:stretch>
                  </pic:blipFill>
                  <pic:spPr>
                    <a:xfrm>
                      <a:off x="0" y="0"/>
                      <a:ext cx="1792497" cy="517585"/>
                    </a:xfrm>
                    <a:prstGeom prst="rect">
                      <a:avLst/>
                    </a:prstGeom>
                    <a:noFill/>
                    <a:ln w="9525">
                      <a:noFill/>
                      <a:miter lim="800000"/>
                      <a:headEnd/>
                      <a:tailEnd/>
                    </a:ln>
                  </pic:spPr>
                </pic:pic>
              </a:graphicData>
            </a:graphic>
          </wp:anchor>
        </w:drawing>
      </w:r>
      <w:r>
        <w:rPr>
          <w:rFonts w:eastAsia="仿宋_GB2312"/>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41275</wp:posOffset>
                </wp:positionV>
                <wp:extent cx="5600700" cy="0"/>
                <wp:effectExtent l="0" t="5715" r="0" b="6350"/>
                <wp:wrapNone/>
                <wp:docPr id="2" name="直线 744"/>
                <wp:cNvGraphicFramePr/>
                <a:graphic xmlns:a="http://schemas.openxmlformats.org/drawingml/2006/main">
                  <a:graphicData uri="http://schemas.microsoft.com/office/word/2010/wordprocessingShape">
                    <wps:wsp>
                      <wps:cNvCnPr/>
                      <wps:spPr>
                        <a:xfrm>
                          <a:off x="0" y="0"/>
                          <a:ext cx="5600700" cy="0"/>
                        </a:xfrm>
                        <a:prstGeom prst="line">
                          <a:avLst/>
                        </a:prstGeom>
                        <a:ln w="12065" cap="flat" cmpd="sng">
                          <a:solidFill>
                            <a:srgbClr val="000000"/>
                          </a:solidFill>
                          <a:prstDash val="solid"/>
                          <a:headEnd type="none" w="med" len="med"/>
                          <a:tailEnd type="none" w="med" len="med"/>
                        </a:ln>
                      </wps:spPr>
                      <wps:bodyPr upright="1"/>
                    </wps:wsp>
                  </a:graphicData>
                </a:graphic>
              </wp:anchor>
            </w:drawing>
          </mc:Choice>
          <mc:Fallback>
            <w:pict>
              <v:line id="直线 744" o:spid="_x0000_s1026" o:spt="20" style="position:absolute;left:0pt;margin-left:0pt;margin-top:3.25pt;height:0pt;width:441pt;z-index:251660288;mso-width-relative:page;mso-height-relative:page;" filled="f" stroked="t" coordsize="21600,21600" o:gfxdata="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vXYLtMAAAAEAQAADwAAAAAAAAABACAAAAA4AAAAZHJzL2Rvd25yZXYu&#10;eG1sUEsBAhQAFAAAAAgAh07iQPyDJTXqAQAA3gMAAA4AAAAAAAAAAQAgAAAAOAEAAGRycy9lMm9E&#10;b2MueG1sUEsFBgAAAAAGAAYAWQEAAJQFAAAAAA==&#10;">
                <v:fill on="f" focussize="0,0"/>
                <v:stroke weight="0.95pt" color="#000000" joinstyle="round"/>
                <v:imagedata o:title=""/>
                <o:lock v:ext="edit" aspectratio="f"/>
              </v:line>
            </w:pict>
          </mc:Fallback>
        </mc:AlternateContent>
      </w:r>
      <w:r>
        <w:rPr>
          <w:rFonts w:hint="eastAsia" w:eastAsia="仿宋_GB2312"/>
          <w:color w:val="000000"/>
          <w:kern w:val="0"/>
          <w:sz w:val="28"/>
          <w:szCs w:val="28"/>
        </w:rPr>
        <w:t xml:space="preserve">                                                    </w:t>
      </w:r>
      <w:r>
        <w:rPr>
          <w:rFonts w:eastAsia="仿宋_GB2312"/>
          <w:color w:val="000000"/>
          <w:kern w:val="0"/>
          <w:sz w:val="28"/>
          <w:szCs w:val="28"/>
        </w:rPr>
        <w:t>共印</w:t>
      </w:r>
      <w:r>
        <w:rPr>
          <w:rFonts w:hint="eastAsia" w:eastAsia="仿宋_GB2312"/>
          <w:color w:val="000000"/>
          <w:kern w:val="0"/>
          <w:sz w:val="28"/>
          <w:szCs w:val="28"/>
        </w:rPr>
        <w:t>14</w:t>
      </w:r>
      <w:r>
        <w:rPr>
          <w:rFonts w:eastAsia="仿宋_GB2312"/>
          <w:color w:val="000000"/>
          <w:kern w:val="0"/>
          <w:sz w:val="28"/>
          <w:szCs w:val="28"/>
        </w:rPr>
        <w:t>0份</w:t>
      </w:r>
    </w:p>
    <w:sectPr>
      <w:footerReference r:id="rId9" w:type="first"/>
      <w:footerReference r:id="rId7" w:type="default"/>
      <w:footerReference r:id="rId8" w:type="even"/>
      <w:pgSz w:w="11906" w:h="16838"/>
      <w:pgMar w:top="2098" w:right="1588" w:bottom="1701" w:left="1588" w:header="851" w:footer="1134" w:gutter="0"/>
      <w:pgNumType w:fmt="numberInDash" w:start="16"/>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3954"/>
      <w:docPartObj>
        <w:docPartGallery w:val="autotext"/>
      </w:docPartObj>
    </w:sdtPr>
    <w:sdtEndPr>
      <w:rPr>
        <w:rFonts w:asciiTheme="minorEastAsia" w:hAnsiTheme="minorEastAsia" w:eastAsiaTheme="minorEastAsia"/>
        <w:sz w:val="24"/>
      </w:rPr>
    </w:sdtEndPr>
    <w:sdtContent>
      <w:p>
        <w:pPr>
          <w:pStyle w:val="20"/>
          <w:jc w:val="right"/>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11 -</w:t>
        </w:r>
        <w:r>
          <w:rPr>
            <w:rFonts w:asciiTheme="minorEastAsia" w:hAnsiTheme="minorEastAsia" w:eastAsiaTheme="minorEastAsia"/>
            <w:sz w:val="24"/>
          </w:rPr>
          <w:fldChar w:fldCharType="end"/>
        </w:r>
      </w:p>
    </w:sdtContent>
  </w:sdt>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3951"/>
      <w:docPartObj>
        <w:docPartGallery w:val="autotext"/>
      </w:docPartObj>
    </w:sdtPr>
    <w:sdtEndPr>
      <w:rPr>
        <w:rFonts w:asciiTheme="minorEastAsia" w:hAnsiTheme="minorEastAsia" w:eastAsiaTheme="minorEastAsia"/>
        <w:sz w:val="24"/>
      </w:rPr>
    </w:sdtEndPr>
    <w:sdtContent>
      <w:p>
        <w:pPr>
          <w:pStyle w:val="20"/>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10 -</w:t>
        </w:r>
        <w:r>
          <w:rPr>
            <w:rFonts w:asciiTheme="minorEastAsia" w:hAnsiTheme="minorEastAsia" w:eastAsiaTheme="minorEastAsia"/>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3962"/>
      <w:docPartObj>
        <w:docPartGallery w:val="autotext"/>
      </w:docPartObj>
    </w:sdtPr>
    <w:sdtEndPr>
      <w:rPr>
        <w:rFonts w:asciiTheme="minorEastAsia" w:hAnsiTheme="minorEastAsia" w:eastAsiaTheme="minorEastAsia"/>
        <w:sz w:val="24"/>
      </w:rPr>
    </w:sdtEndPr>
    <w:sdtContent>
      <w:p>
        <w:pPr>
          <w:pStyle w:val="20"/>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15 -</w:t>
        </w:r>
        <w:r>
          <w:rPr>
            <w:rFonts w:asciiTheme="minorEastAsia" w:hAnsiTheme="minorEastAsia" w:eastAsiaTheme="minorEastAsia"/>
            <w:sz w:val="24"/>
          </w:rPr>
          <w:fldChar w:fldCharType="end"/>
        </w:r>
      </w:p>
    </w:sdtContent>
  </w:sdt>
  <w:p>
    <w:pPr>
      <w:spacing w:line="14" w:lineRule="auto"/>
      <w:rPr>
        <w:rFonts w:asciiTheme="minorEastAsia" w:hAnsiTheme="minorEastAsia" w:eastAsiaTheme="minorEastAsia"/>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3957"/>
      <w:docPartObj>
        <w:docPartGallery w:val="autotext"/>
      </w:docPartObj>
    </w:sdtPr>
    <w:sdtEndPr>
      <w:rPr>
        <w:rFonts w:asciiTheme="minorEastAsia" w:hAnsiTheme="minorEastAsia" w:eastAsiaTheme="minorEastAsia"/>
        <w:sz w:val="24"/>
      </w:rPr>
    </w:sdtEndPr>
    <w:sdtContent>
      <w:p>
        <w:pPr>
          <w:pStyle w:val="20"/>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14 -</w:t>
        </w:r>
        <w:r>
          <w:rPr>
            <w:rFonts w:asciiTheme="minorEastAsia" w:hAnsiTheme="minorEastAsia" w:eastAsiaTheme="minorEastAsia"/>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17 -</w:t>
    </w:r>
    <w:r>
      <w:rPr>
        <w:rFonts w:asciiTheme="minorEastAsia" w:hAnsiTheme="minorEastAsia" w:eastAsiaTheme="minorEastAsia"/>
        <w:sz w:val="24"/>
      </w:rP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18 -</w:t>
    </w:r>
    <w:r>
      <w:rPr>
        <w:rFonts w:asciiTheme="minorEastAsia" w:hAnsiTheme="minorEastAsia" w:eastAsiaTheme="minorEastAsia"/>
        <w:sz w:val="24"/>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16 -</w:t>
    </w:r>
    <w:r>
      <w:rPr>
        <w:rFonts w:asciiTheme="minorEastAsia" w:hAnsiTheme="minorEastAsia" w:eastAsiaTheme="minorEastAsia"/>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A0"/>
    <w:rsid w:val="00002929"/>
    <w:rsid w:val="00003C02"/>
    <w:rsid w:val="000069EE"/>
    <w:rsid w:val="00006C27"/>
    <w:rsid w:val="00007203"/>
    <w:rsid w:val="000078B3"/>
    <w:rsid w:val="00007CE2"/>
    <w:rsid w:val="00007D2F"/>
    <w:rsid w:val="00010265"/>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386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7C4"/>
    <w:rsid w:val="0003484E"/>
    <w:rsid w:val="000348D3"/>
    <w:rsid w:val="00034FDD"/>
    <w:rsid w:val="00035045"/>
    <w:rsid w:val="000352A7"/>
    <w:rsid w:val="000354F1"/>
    <w:rsid w:val="0003584A"/>
    <w:rsid w:val="00035F98"/>
    <w:rsid w:val="00035FD8"/>
    <w:rsid w:val="000375E5"/>
    <w:rsid w:val="00037F61"/>
    <w:rsid w:val="0004245C"/>
    <w:rsid w:val="00042DFB"/>
    <w:rsid w:val="000436F5"/>
    <w:rsid w:val="00043E42"/>
    <w:rsid w:val="00043F74"/>
    <w:rsid w:val="00044FCC"/>
    <w:rsid w:val="00045205"/>
    <w:rsid w:val="0004552F"/>
    <w:rsid w:val="00046616"/>
    <w:rsid w:val="0004684B"/>
    <w:rsid w:val="00046933"/>
    <w:rsid w:val="000469A2"/>
    <w:rsid w:val="00046C77"/>
    <w:rsid w:val="0004710B"/>
    <w:rsid w:val="00050CF1"/>
    <w:rsid w:val="000513C9"/>
    <w:rsid w:val="000515C9"/>
    <w:rsid w:val="00052DF1"/>
    <w:rsid w:val="0005347A"/>
    <w:rsid w:val="00053843"/>
    <w:rsid w:val="00053C93"/>
    <w:rsid w:val="00054ACE"/>
    <w:rsid w:val="00056146"/>
    <w:rsid w:val="000561AF"/>
    <w:rsid w:val="00056B47"/>
    <w:rsid w:val="00057310"/>
    <w:rsid w:val="0006060C"/>
    <w:rsid w:val="00060A8A"/>
    <w:rsid w:val="00060F99"/>
    <w:rsid w:val="00061763"/>
    <w:rsid w:val="00061819"/>
    <w:rsid w:val="00061BC4"/>
    <w:rsid w:val="000636CA"/>
    <w:rsid w:val="00063DC7"/>
    <w:rsid w:val="000640A7"/>
    <w:rsid w:val="00065590"/>
    <w:rsid w:val="00065E31"/>
    <w:rsid w:val="00065E3F"/>
    <w:rsid w:val="00067FC4"/>
    <w:rsid w:val="00070930"/>
    <w:rsid w:val="0007137B"/>
    <w:rsid w:val="00071452"/>
    <w:rsid w:val="00071F6A"/>
    <w:rsid w:val="0007201A"/>
    <w:rsid w:val="00072273"/>
    <w:rsid w:val="00072B59"/>
    <w:rsid w:val="00072E8F"/>
    <w:rsid w:val="000740E5"/>
    <w:rsid w:val="00074781"/>
    <w:rsid w:val="00074BBC"/>
    <w:rsid w:val="00074CAA"/>
    <w:rsid w:val="00075701"/>
    <w:rsid w:val="00075B12"/>
    <w:rsid w:val="00075CD4"/>
    <w:rsid w:val="00076727"/>
    <w:rsid w:val="00076989"/>
    <w:rsid w:val="00077777"/>
    <w:rsid w:val="00077BBB"/>
    <w:rsid w:val="000802A8"/>
    <w:rsid w:val="000809C2"/>
    <w:rsid w:val="00080E8C"/>
    <w:rsid w:val="00080F61"/>
    <w:rsid w:val="00081172"/>
    <w:rsid w:val="00081E57"/>
    <w:rsid w:val="00082FAB"/>
    <w:rsid w:val="0008460D"/>
    <w:rsid w:val="00084E81"/>
    <w:rsid w:val="00085CEF"/>
    <w:rsid w:val="00085F98"/>
    <w:rsid w:val="00086F2E"/>
    <w:rsid w:val="00087429"/>
    <w:rsid w:val="000901B8"/>
    <w:rsid w:val="00090334"/>
    <w:rsid w:val="00090702"/>
    <w:rsid w:val="00090ED3"/>
    <w:rsid w:val="0009136E"/>
    <w:rsid w:val="000914A4"/>
    <w:rsid w:val="00091A8C"/>
    <w:rsid w:val="00091C0A"/>
    <w:rsid w:val="00091D5A"/>
    <w:rsid w:val="0009266E"/>
    <w:rsid w:val="00092A3D"/>
    <w:rsid w:val="00092BA4"/>
    <w:rsid w:val="000934DE"/>
    <w:rsid w:val="000935BE"/>
    <w:rsid w:val="00095648"/>
    <w:rsid w:val="00096249"/>
    <w:rsid w:val="000969D0"/>
    <w:rsid w:val="00096A33"/>
    <w:rsid w:val="00097DF0"/>
    <w:rsid w:val="00097EEA"/>
    <w:rsid w:val="000A0456"/>
    <w:rsid w:val="000A05E5"/>
    <w:rsid w:val="000A0815"/>
    <w:rsid w:val="000A0E27"/>
    <w:rsid w:val="000A126F"/>
    <w:rsid w:val="000A1688"/>
    <w:rsid w:val="000A2182"/>
    <w:rsid w:val="000A24F3"/>
    <w:rsid w:val="000A2D37"/>
    <w:rsid w:val="000A2E51"/>
    <w:rsid w:val="000A2E79"/>
    <w:rsid w:val="000A485F"/>
    <w:rsid w:val="000A520E"/>
    <w:rsid w:val="000A5AC8"/>
    <w:rsid w:val="000A5C0F"/>
    <w:rsid w:val="000A6147"/>
    <w:rsid w:val="000A7285"/>
    <w:rsid w:val="000A734D"/>
    <w:rsid w:val="000B03CF"/>
    <w:rsid w:val="000B0636"/>
    <w:rsid w:val="000B0C0F"/>
    <w:rsid w:val="000B15EF"/>
    <w:rsid w:val="000B1E34"/>
    <w:rsid w:val="000B286A"/>
    <w:rsid w:val="000B29A6"/>
    <w:rsid w:val="000B2E8E"/>
    <w:rsid w:val="000B3200"/>
    <w:rsid w:val="000B3B19"/>
    <w:rsid w:val="000B5338"/>
    <w:rsid w:val="000B5812"/>
    <w:rsid w:val="000B6659"/>
    <w:rsid w:val="000B6767"/>
    <w:rsid w:val="000B69D4"/>
    <w:rsid w:val="000B6B8D"/>
    <w:rsid w:val="000B75BE"/>
    <w:rsid w:val="000B7B97"/>
    <w:rsid w:val="000C0188"/>
    <w:rsid w:val="000C0EA1"/>
    <w:rsid w:val="000C18F9"/>
    <w:rsid w:val="000C1B96"/>
    <w:rsid w:val="000C211E"/>
    <w:rsid w:val="000C2DB9"/>
    <w:rsid w:val="000C4953"/>
    <w:rsid w:val="000C4D1A"/>
    <w:rsid w:val="000C50DB"/>
    <w:rsid w:val="000C5E93"/>
    <w:rsid w:val="000C67AC"/>
    <w:rsid w:val="000C6E98"/>
    <w:rsid w:val="000C7002"/>
    <w:rsid w:val="000C7707"/>
    <w:rsid w:val="000D0388"/>
    <w:rsid w:val="000D0AB2"/>
    <w:rsid w:val="000D0EFB"/>
    <w:rsid w:val="000D1A7E"/>
    <w:rsid w:val="000D1FDA"/>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221B"/>
    <w:rsid w:val="000E22C3"/>
    <w:rsid w:val="000E24EE"/>
    <w:rsid w:val="000E2BC4"/>
    <w:rsid w:val="000E331E"/>
    <w:rsid w:val="000E382E"/>
    <w:rsid w:val="000E3943"/>
    <w:rsid w:val="000E3A55"/>
    <w:rsid w:val="000E45F9"/>
    <w:rsid w:val="000E4FD1"/>
    <w:rsid w:val="000E55A4"/>
    <w:rsid w:val="000E6288"/>
    <w:rsid w:val="000E678B"/>
    <w:rsid w:val="000E7427"/>
    <w:rsid w:val="000E7573"/>
    <w:rsid w:val="000E7AA0"/>
    <w:rsid w:val="000F0453"/>
    <w:rsid w:val="000F0A49"/>
    <w:rsid w:val="000F0DF6"/>
    <w:rsid w:val="000F0F34"/>
    <w:rsid w:val="000F1373"/>
    <w:rsid w:val="000F169C"/>
    <w:rsid w:val="000F1886"/>
    <w:rsid w:val="000F2964"/>
    <w:rsid w:val="000F4328"/>
    <w:rsid w:val="000F48F1"/>
    <w:rsid w:val="000F548D"/>
    <w:rsid w:val="000F5ED6"/>
    <w:rsid w:val="000F5FD6"/>
    <w:rsid w:val="000F6EA7"/>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D0A"/>
    <w:rsid w:val="00111067"/>
    <w:rsid w:val="00112277"/>
    <w:rsid w:val="001122D8"/>
    <w:rsid w:val="0011283C"/>
    <w:rsid w:val="00112D5E"/>
    <w:rsid w:val="00112F94"/>
    <w:rsid w:val="001135E5"/>
    <w:rsid w:val="0011399C"/>
    <w:rsid w:val="00113DF6"/>
    <w:rsid w:val="001140D5"/>
    <w:rsid w:val="00114124"/>
    <w:rsid w:val="001142C2"/>
    <w:rsid w:val="001145BE"/>
    <w:rsid w:val="00114967"/>
    <w:rsid w:val="00115388"/>
    <w:rsid w:val="00117D75"/>
    <w:rsid w:val="001202E2"/>
    <w:rsid w:val="0012111A"/>
    <w:rsid w:val="001217C3"/>
    <w:rsid w:val="00121CB3"/>
    <w:rsid w:val="0012294D"/>
    <w:rsid w:val="00124378"/>
    <w:rsid w:val="00125329"/>
    <w:rsid w:val="001265E1"/>
    <w:rsid w:val="001266D6"/>
    <w:rsid w:val="00130334"/>
    <w:rsid w:val="0013140A"/>
    <w:rsid w:val="001318A1"/>
    <w:rsid w:val="00131E2C"/>
    <w:rsid w:val="0013281A"/>
    <w:rsid w:val="00133299"/>
    <w:rsid w:val="0013493F"/>
    <w:rsid w:val="00135827"/>
    <w:rsid w:val="00136401"/>
    <w:rsid w:val="00136491"/>
    <w:rsid w:val="001366C6"/>
    <w:rsid w:val="001371B6"/>
    <w:rsid w:val="00137530"/>
    <w:rsid w:val="0013783C"/>
    <w:rsid w:val="00137CD0"/>
    <w:rsid w:val="00140485"/>
    <w:rsid w:val="0014120A"/>
    <w:rsid w:val="00141909"/>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1078"/>
    <w:rsid w:val="0015293E"/>
    <w:rsid w:val="00152C5E"/>
    <w:rsid w:val="001535B2"/>
    <w:rsid w:val="00153A43"/>
    <w:rsid w:val="00153DEF"/>
    <w:rsid w:val="00153F93"/>
    <w:rsid w:val="00154069"/>
    <w:rsid w:val="00155591"/>
    <w:rsid w:val="001556BF"/>
    <w:rsid w:val="00155961"/>
    <w:rsid w:val="00157D5C"/>
    <w:rsid w:val="00160AB2"/>
    <w:rsid w:val="00160C52"/>
    <w:rsid w:val="001615AE"/>
    <w:rsid w:val="0016241F"/>
    <w:rsid w:val="00162AAA"/>
    <w:rsid w:val="00162B3C"/>
    <w:rsid w:val="001630CA"/>
    <w:rsid w:val="001632AB"/>
    <w:rsid w:val="001634C7"/>
    <w:rsid w:val="0016358C"/>
    <w:rsid w:val="00163774"/>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17CB"/>
    <w:rsid w:val="00182278"/>
    <w:rsid w:val="00183E4B"/>
    <w:rsid w:val="0018497A"/>
    <w:rsid w:val="00184D22"/>
    <w:rsid w:val="00185C8C"/>
    <w:rsid w:val="00185CC5"/>
    <w:rsid w:val="00187028"/>
    <w:rsid w:val="00190361"/>
    <w:rsid w:val="001904D1"/>
    <w:rsid w:val="00190820"/>
    <w:rsid w:val="00190970"/>
    <w:rsid w:val="0019139C"/>
    <w:rsid w:val="00191F16"/>
    <w:rsid w:val="00192A0D"/>
    <w:rsid w:val="00193378"/>
    <w:rsid w:val="00194558"/>
    <w:rsid w:val="00194A70"/>
    <w:rsid w:val="00194B6D"/>
    <w:rsid w:val="00194E70"/>
    <w:rsid w:val="00195466"/>
    <w:rsid w:val="00196141"/>
    <w:rsid w:val="00196F9B"/>
    <w:rsid w:val="00197195"/>
    <w:rsid w:val="0019722A"/>
    <w:rsid w:val="001A0DCC"/>
    <w:rsid w:val="001A0F0E"/>
    <w:rsid w:val="001A2941"/>
    <w:rsid w:val="001A2B6D"/>
    <w:rsid w:val="001A2CF4"/>
    <w:rsid w:val="001A2FA7"/>
    <w:rsid w:val="001A313C"/>
    <w:rsid w:val="001A324C"/>
    <w:rsid w:val="001A4178"/>
    <w:rsid w:val="001A5194"/>
    <w:rsid w:val="001A6040"/>
    <w:rsid w:val="001A60BB"/>
    <w:rsid w:val="001A7D60"/>
    <w:rsid w:val="001A7F66"/>
    <w:rsid w:val="001B0775"/>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B2B"/>
    <w:rsid w:val="001C381C"/>
    <w:rsid w:val="001C387E"/>
    <w:rsid w:val="001C39AA"/>
    <w:rsid w:val="001C5606"/>
    <w:rsid w:val="001C5E11"/>
    <w:rsid w:val="001C6335"/>
    <w:rsid w:val="001C6E25"/>
    <w:rsid w:val="001C6E3C"/>
    <w:rsid w:val="001C72A2"/>
    <w:rsid w:val="001C73B0"/>
    <w:rsid w:val="001C73B9"/>
    <w:rsid w:val="001C768D"/>
    <w:rsid w:val="001C7918"/>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60C1"/>
    <w:rsid w:val="001D7418"/>
    <w:rsid w:val="001D7802"/>
    <w:rsid w:val="001D782D"/>
    <w:rsid w:val="001E0683"/>
    <w:rsid w:val="001E089D"/>
    <w:rsid w:val="001E0BD0"/>
    <w:rsid w:val="001E1460"/>
    <w:rsid w:val="001E1DCD"/>
    <w:rsid w:val="001E242A"/>
    <w:rsid w:val="001E25E8"/>
    <w:rsid w:val="001E3AB2"/>
    <w:rsid w:val="001E4381"/>
    <w:rsid w:val="001E4747"/>
    <w:rsid w:val="001E4A88"/>
    <w:rsid w:val="001E4F81"/>
    <w:rsid w:val="001E6284"/>
    <w:rsid w:val="001E64A7"/>
    <w:rsid w:val="001E703B"/>
    <w:rsid w:val="001E7BAC"/>
    <w:rsid w:val="001F02B7"/>
    <w:rsid w:val="001F18F3"/>
    <w:rsid w:val="001F1C22"/>
    <w:rsid w:val="001F1C8B"/>
    <w:rsid w:val="001F2569"/>
    <w:rsid w:val="001F2596"/>
    <w:rsid w:val="001F2618"/>
    <w:rsid w:val="001F2BCD"/>
    <w:rsid w:val="001F2BDC"/>
    <w:rsid w:val="001F56AC"/>
    <w:rsid w:val="001F6584"/>
    <w:rsid w:val="001F6777"/>
    <w:rsid w:val="001F7A2A"/>
    <w:rsid w:val="00200E80"/>
    <w:rsid w:val="0020103A"/>
    <w:rsid w:val="00201907"/>
    <w:rsid w:val="00202529"/>
    <w:rsid w:val="002037FA"/>
    <w:rsid w:val="002045F0"/>
    <w:rsid w:val="002053AF"/>
    <w:rsid w:val="002054E3"/>
    <w:rsid w:val="002059C6"/>
    <w:rsid w:val="002061A7"/>
    <w:rsid w:val="00207ED8"/>
    <w:rsid w:val="0021053D"/>
    <w:rsid w:val="0021126C"/>
    <w:rsid w:val="00211934"/>
    <w:rsid w:val="002128CA"/>
    <w:rsid w:val="002138D4"/>
    <w:rsid w:val="00213A55"/>
    <w:rsid w:val="002145D2"/>
    <w:rsid w:val="00214A4A"/>
    <w:rsid w:val="00215210"/>
    <w:rsid w:val="00216D7D"/>
    <w:rsid w:val="00217459"/>
    <w:rsid w:val="00221C70"/>
    <w:rsid w:val="002229BA"/>
    <w:rsid w:val="002237CC"/>
    <w:rsid w:val="00224626"/>
    <w:rsid w:val="0022653D"/>
    <w:rsid w:val="00227FE0"/>
    <w:rsid w:val="002300C4"/>
    <w:rsid w:val="00232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584F"/>
    <w:rsid w:val="002459E0"/>
    <w:rsid w:val="00245D26"/>
    <w:rsid w:val="00246C02"/>
    <w:rsid w:val="00246E63"/>
    <w:rsid w:val="00247279"/>
    <w:rsid w:val="0024730D"/>
    <w:rsid w:val="002473B0"/>
    <w:rsid w:val="002479D5"/>
    <w:rsid w:val="00250A91"/>
    <w:rsid w:val="00251759"/>
    <w:rsid w:val="00252D98"/>
    <w:rsid w:val="00253036"/>
    <w:rsid w:val="002531D3"/>
    <w:rsid w:val="00253630"/>
    <w:rsid w:val="002546CF"/>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F53"/>
    <w:rsid w:val="002716BE"/>
    <w:rsid w:val="002729AD"/>
    <w:rsid w:val="00273498"/>
    <w:rsid w:val="0027366B"/>
    <w:rsid w:val="00277D3F"/>
    <w:rsid w:val="00277FA7"/>
    <w:rsid w:val="00280406"/>
    <w:rsid w:val="00280BD2"/>
    <w:rsid w:val="0028117A"/>
    <w:rsid w:val="00283C15"/>
    <w:rsid w:val="00283DBD"/>
    <w:rsid w:val="00284085"/>
    <w:rsid w:val="002847E0"/>
    <w:rsid w:val="0028527F"/>
    <w:rsid w:val="002852C0"/>
    <w:rsid w:val="002859A4"/>
    <w:rsid w:val="00286100"/>
    <w:rsid w:val="002863D9"/>
    <w:rsid w:val="002875B2"/>
    <w:rsid w:val="002875B5"/>
    <w:rsid w:val="00287CEE"/>
    <w:rsid w:val="00287F23"/>
    <w:rsid w:val="00290688"/>
    <w:rsid w:val="0029075F"/>
    <w:rsid w:val="002914A9"/>
    <w:rsid w:val="0029216F"/>
    <w:rsid w:val="00292B45"/>
    <w:rsid w:val="002943B6"/>
    <w:rsid w:val="002943E4"/>
    <w:rsid w:val="00294A50"/>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52C"/>
    <w:rsid w:val="002B262C"/>
    <w:rsid w:val="002B2F43"/>
    <w:rsid w:val="002B431E"/>
    <w:rsid w:val="002B51A8"/>
    <w:rsid w:val="002B5595"/>
    <w:rsid w:val="002B58FF"/>
    <w:rsid w:val="002B5BB4"/>
    <w:rsid w:val="002B6D1A"/>
    <w:rsid w:val="002B7DA7"/>
    <w:rsid w:val="002C0E09"/>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C7495"/>
    <w:rsid w:val="002D0B84"/>
    <w:rsid w:val="002D0BC7"/>
    <w:rsid w:val="002D1469"/>
    <w:rsid w:val="002D1964"/>
    <w:rsid w:val="002D1FE1"/>
    <w:rsid w:val="002D2CB8"/>
    <w:rsid w:val="002D4754"/>
    <w:rsid w:val="002D4FFD"/>
    <w:rsid w:val="002D5589"/>
    <w:rsid w:val="002D79DB"/>
    <w:rsid w:val="002E0279"/>
    <w:rsid w:val="002E1A7D"/>
    <w:rsid w:val="002E1AC4"/>
    <w:rsid w:val="002E1FEC"/>
    <w:rsid w:val="002E2433"/>
    <w:rsid w:val="002E258C"/>
    <w:rsid w:val="002E2D21"/>
    <w:rsid w:val="002E2E8C"/>
    <w:rsid w:val="002E4DF1"/>
    <w:rsid w:val="002E5C22"/>
    <w:rsid w:val="002E5D10"/>
    <w:rsid w:val="002E63C6"/>
    <w:rsid w:val="002E6A2E"/>
    <w:rsid w:val="002E6A91"/>
    <w:rsid w:val="002E6BC4"/>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CED"/>
    <w:rsid w:val="0030377D"/>
    <w:rsid w:val="003039C1"/>
    <w:rsid w:val="00303C44"/>
    <w:rsid w:val="003045A0"/>
    <w:rsid w:val="003068E1"/>
    <w:rsid w:val="003108BF"/>
    <w:rsid w:val="00310B33"/>
    <w:rsid w:val="00310EFA"/>
    <w:rsid w:val="00310FA5"/>
    <w:rsid w:val="00312D50"/>
    <w:rsid w:val="00312F8B"/>
    <w:rsid w:val="003149B6"/>
    <w:rsid w:val="003149E3"/>
    <w:rsid w:val="00314BAF"/>
    <w:rsid w:val="00317254"/>
    <w:rsid w:val="00317673"/>
    <w:rsid w:val="0031767C"/>
    <w:rsid w:val="003178CF"/>
    <w:rsid w:val="00317B51"/>
    <w:rsid w:val="00317D3A"/>
    <w:rsid w:val="00320128"/>
    <w:rsid w:val="003201DC"/>
    <w:rsid w:val="003208C1"/>
    <w:rsid w:val="003220E9"/>
    <w:rsid w:val="00322511"/>
    <w:rsid w:val="00322778"/>
    <w:rsid w:val="00323CBB"/>
    <w:rsid w:val="003240DA"/>
    <w:rsid w:val="003243B0"/>
    <w:rsid w:val="00326622"/>
    <w:rsid w:val="003277A4"/>
    <w:rsid w:val="00327992"/>
    <w:rsid w:val="003279EA"/>
    <w:rsid w:val="00327D32"/>
    <w:rsid w:val="0033015D"/>
    <w:rsid w:val="00330220"/>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37D5E"/>
    <w:rsid w:val="00340074"/>
    <w:rsid w:val="00342C89"/>
    <w:rsid w:val="0034373A"/>
    <w:rsid w:val="00343930"/>
    <w:rsid w:val="00343961"/>
    <w:rsid w:val="00343B5C"/>
    <w:rsid w:val="00344F01"/>
    <w:rsid w:val="0034760B"/>
    <w:rsid w:val="00347FD8"/>
    <w:rsid w:val="003509A6"/>
    <w:rsid w:val="00350BF2"/>
    <w:rsid w:val="00352A4F"/>
    <w:rsid w:val="00352FE5"/>
    <w:rsid w:val="003530DF"/>
    <w:rsid w:val="0035392D"/>
    <w:rsid w:val="00354D8F"/>
    <w:rsid w:val="00355330"/>
    <w:rsid w:val="00355640"/>
    <w:rsid w:val="00355F41"/>
    <w:rsid w:val="0035782C"/>
    <w:rsid w:val="00360FE8"/>
    <w:rsid w:val="00361B65"/>
    <w:rsid w:val="00362962"/>
    <w:rsid w:val="00363CFF"/>
    <w:rsid w:val="00363D70"/>
    <w:rsid w:val="003641A8"/>
    <w:rsid w:val="0036439E"/>
    <w:rsid w:val="0036468C"/>
    <w:rsid w:val="00364E4A"/>
    <w:rsid w:val="00364EE2"/>
    <w:rsid w:val="00365113"/>
    <w:rsid w:val="00365853"/>
    <w:rsid w:val="00365FA3"/>
    <w:rsid w:val="003660A8"/>
    <w:rsid w:val="00366D4A"/>
    <w:rsid w:val="00366EA1"/>
    <w:rsid w:val="0036767F"/>
    <w:rsid w:val="00367A80"/>
    <w:rsid w:val="00367B6A"/>
    <w:rsid w:val="003706FE"/>
    <w:rsid w:val="0037105F"/>
    <w:rsid w:val="003712F9"/>
    <w:rsid w:val="00372470"/>
    <w:rsid w:val="00372BAF"/>
    <w:rsid w:val="00373227"/>
    <w:rsid w:val="00373967"/>
    <w:rsid w:val="003740F6"/>
    <w:rsid w:val="0037593B"/>
    <w:rsid w:val="0037665B"/>
    <w:rsid w:val="0038002F"/>
    <w:rsid w:val="0038163E"/>
    <w:rsid w:val="00383584"/>
    <w:rsid w:val="00383FC4"/>
    <w:rsid w:val="00384D40"/>
    <w:rsid w:val="00385995"/>
    <w:rsid w:val="003859AE"/>
    <w:rsid w:val="00386B67"/>
    <w:rsid w:val="003871E4"/>
    <w:rsid w:val="0039005E"/>
    <w:rsid w:val="00390AD7"/>
    <w:rsid w:val="00391420"/>
    <w:rsid w:val="0039217D"/>
    <w:rsid w:val="0039229E"/>
    <w:rsid w:val="00392532"/>
    <w:rsid w:val="00392CBA"/>
    <w:rsid w:val="00393978"/>
    <w:rsid w:val="00393B94"/>
    <w:rsid w:val="00393EA2"/>
    <w:rsid w:val="00394D93"/>
    <w:rsid w:val="0039545A"/>
    <w:rsid w:val="00395A59"/>
    <w:rsid w:val="00395AC6"/>
    <w:rsid w:val="00395DEA"/>
    <w:rsid w:val="00395EBF"/>
    <w:rsid w:val="00396D08"/>
    <w:rsid w:val="00397C13"/>
    <w:rsid w:val="00397CD3"/>
    <w:rsid w:val="003A06E4"/>
    <w:rsid w:val="003A0B64"/>
    <w:rsid w:val="003A0EE1"/>
    <w:rsid w:val="003A1469"/>
    <w:rsid w:val="003A185F"/>
    <w:rsid w:val="003A1BA4"/>
    <w:rsid w:val="003A226A"/>
    <w:rsid w:val="003A286C"/>
    <w:rsid w:val="003A2B66"/>
    <w:rsid w:val="003A2C28"/>
    <w:rsid w:val="003A3ABE"/>
    <w:rsid w:val="003A4C9B"/>
    <w:rsid w:val="003A61BC"/>
    <w:rsid w:val="003A63D5"/>
    <w:rsid w:val="003A6624"/>
    <w:rsid w:val="003A73C5"/>
    <w:rsid w:val="003A7EFB"/>
    <w:rsid w:val="003B02EA"/>
    <w:rsid w:val="003B0662"/>
    <w:rsid w:val="003B17B9"/>
    <w:rsid w:val="003B186C"/>
    <w:rsid w:val="003B2FD9"/>
    <w:rsid w:val="003B2FE0"/>
    <w:rsid w:val="003B31E0"/>
    <w:rsid w:val="003B33F2"/>
    <w:rsid w:val="003B3C6A"/>
    <w:rsid w:val="003B4681"/>
    <w:rsid w:val="003B4A0A"/>
    <w:rsid w:val="003B5B33"/>
    <w:rsid w:val="003B5C15"/>
    <w:rsid w:val="003C01E6"/>
    <w:rsid w:val="003C0BC9"/>
    <w:rsid w:val="003C12BD"/>
    <w:rsid w:val="003C1F22"/>
    <w:rsid w:val="003C2BF3"/>
    <w:rsid w:val="003C54E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397F"/>
    <w:rsid w:val="003D4814"/>
    <w:rsid w:val="003D4BB1"/>
    <w:rsid w:val="003D5A12"/>
    <w:rsid w:val="003D5E46"/>
    <w:rsid w:val="003D7479"/>
    <w:rsid w:val="003E0261"/>
    <w:rsid w:val="003E07A7"/>
    <w:rsid w:val="003E0AF3"/>
    <w:rsid w:val="003E0E3F"/>
    <w:rsid w:val="003E0F9E"/>
    <w:rsid w:val="003E1065"/>
    <w:rsid w:val="003E1204"/>
    <w:rsid w:val="003E1A0C"/>
    <w:rsid w:val="003E2EFD"/>
    <w:rsid w:val="003E4110"/>
    <w:rsid w:val="003E592B"/>
    <w:rsid w:val="003E59A4"/>
    <w:rsid w:val="003E5BFC"/>
    <w:rsid w:val="003E5DCA"/>
    <w:rsid w:val="003E626B"/>
    <w:rsid w:val="003E62A1"/>
    <w:rsid w:val="003E6A5A"/>
    <w:rsid w:val="003E7179"/>
    <w:rsid w:val="003E7E72"/>
    <w:rsid w:val="003F0459"/>
    <w:rsid w:val="003F0A05"/>
    <w:rsid w:val="003F0A27"/>
    <w:rsid w:val="003F1721"/>
    <w:rsid w:val="003F34C3"/>
    <w:rsid w:val="003F4133"/>
    <w:rsid w:val="003F516E"/>
    <w:rsid w:val="003F6066"/>
    <w:rsid w:val="003F6C08"/>
    <w:rsid w:val="003F6E4F"/>
    <w:rsid w:val="003F7271"/>
    <w:rsid w:val="003F79C8"/>
    <w:rsid w:val="00400E4C"/>
    <w:rsid w:val="004012A9"/>
    <w:rsid w:val="004012C8"/>
    <w:rsid w:val="004042DA"/>
    <w:rsid w:val="00404632"/>
    <w:rsid w:val="00404975"/>
    <w:rsid w:val="004050C9"/>
    <w:rsid w:val="00405D8F"/>
    <w:rsid w:val="004068EC"/>
    <w:rsid w:val="004071AA"/>
    <w:rsid w:val="00407E1F"/>
    <w:rsid w:val="0041008C"/>
    <w:rsid w:val="00413F1C"/>
    <w:rsid w:val="0041476F"/>
    <w:rsid w:val="00414CFF"/>
    <w:rsid w:val="00414DD0"/>
    <w:rsid w:val="0041525C"/>
    <w:rsid w:val="00415558"/>
    <w:rsid w:val="004159A6"/>
    <w:rsid w:val="00415D0E"/>
    <w:rsid w:val="00415EA6"/>
    <w:rsid w:val="00416337"/>
    <w:rsid w:val="004165C2"/>
    <w:rsid w:val="004169C8"/>
    <w:rsid w:val="00416C3F"/>
    <w:rsid w:val="00417033"/>
    <w:rsid w:val="0042176A"/>
    <w:rsid w:val="004218AF"/>
    <w:rsid w:val="00421B79"/>
    <w:rsid w:val="0042297D"/>
    <w:rsid w:val="0042492C"/>
    <w:rsid w:val="00424C9B"/>
    <w:rsid w:val="00427610"/>
    <w:rsid w:val="00430484"/>
    <w:rsid w:val="00430E8D"/>
    <w:rsid w:val="00431827"/>
    <w:rsid w:val="00431C0D"/>
    <w:rsid w:val="0043262F"/>
    <w:rsid w:val="004344A5"/>
    <w:rsid w:val="00435ED7"/>
    <w:rsid w:val="00436C0A"/>
    <w:rsid w:val="00437275"/>
    <w:rsid w:val="00437F60"/>
    <w:rsid w:val="0044099E"/>
    <w:rsid w:val="00441025"/>
    <w:rsid w:val="00441F89"/>
    <w:rsid w:val="0044281E"/>
    <w:rsid w:val="004437E8"/>
    <w:rsid w:val="00443BE1"/>
    <w:rsid w:val="00444029"/>
    <w:rsid w:val="00444388"/>
    <w:rsid w:val="004445BE"/>
    <w:rsid w:val="00444725"/>
    <w:rsid w:val="00444CEF"/>
    <w:rsid w:val="004454FC"/>
    <w:rsid w:val="00445909"/>
    <w:rsid w:val="00446498"/>
    <w:rsid w:val="00450448"/>
    <w:rsid w:val="004510C3"/>
    <w:rsid w:val="004511A6"/>
    <w:rsid w:val="004514BB"/>
    <w:rsid w:val="0045168F"/>
    <w:rsid w:val="00452062"/>
    <w:rsid w:val="0045254C"/>
    <w:rsid w:val="004543D3"/>
    <w:rsid w:val="00455443"/>
    <w:rsid w:val="00455E94"/>
    <w:rsid w:val="00456966"/>
    <w:rsid w:val="004569AC"/>
    <w:rsid w:val="00456C91"/>
    <w:rsid w:val="00457008"/>
    <w:rsid w:val="0045739D"/>
    <w:rsid w:val="00457DA6"/>
    <w:rsid w:val="0046003E"/>
    <w:rsid w:val="004603B6"/>
    <w:rsid w:val="0046199B"/>
    <w:rsid w:val="00461A30"/>
    <w:rsid w:val="00462182"/>
    <w:rsid w:val="00462CB8"/>
    <w:rsid w:val="0046327E"/>
    <w:rsid w:val="0046327F"/>
    <w:rsid w:val="004650E9"/>
    <w:rsid w:val="004653E3"/>
    <w:rsid w:val="00465DC4"/>
    <w:rsid w:val="0046686F"/>
    <w:rsid w:val="00466B92"/>
    <w:rsid w:val="004670EF"/>
    <w:rsid w:val="00467138"/>
    <w:rsid w:val="00470B9A"/>
    <w:rsid w:val="0047146A"/>
    <w:rsid w:val="004719A3"/>
    <w:rsid w:val="00472F6D"/>
    <w:rsid w:val="00473473"/>
    <w:rsid w:val="00473E8B"/>
    <w:rsid w:val="004740BC"/>
    <w:rsid w:val="0047425C"/>
    <w:rsid w:val="0047430D"/>
    <w:rsid w:val="004750C5"/>
    <w:rsid w:val="00475FF7"/>
    <w:rsid w:val="0047626E"/>
    <w:rsid w:val="004779B7"/>
    <w:rsid w:val="004806B1"/>
    <w:rsid w:val="00480B6C"/>
    <w:rsid w:val="0048120A"/>
    <w:rsid w:val="00481570"/>
    <w:rsid w:val="004815ED"/>
    <w:rsid w:val="00481BA4"/>
    <w:rsid w:val="00481CFB"/>
    <w:rsid w:val="0048299A"/>
    <w:rsid w:val="004832AA"/>
    <w:rsid w:val="0048357D"/>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399B"/>
    <w:rsid w:val="004944D2"/>
    <w:rsid w:val="004946AE"/>
    <w:rsid w:val="0049529D"/>
    <w:rsid w:val="00496343"/>
    <w:rsid w:val="0049638A"/>
    <w:rsid w:val="00497811"/>
    <w:rsid w:val="00497C41"/>
    <w:rsid w:val="00497FE6"/>
    <w:rsid w:val="004A034C"/>
    <w:rsid w:val="004A16E5"/>
    <w:rsid w:val="004A2316"/>
    <w:rsid w:val="004A29D0"/>
    <w:rsid w:val="004A30EB"/>
    <w:rsid w:val="004A3F4B"/>
    <w:rsid w:val="004A50D6"/>
    <w:rsid w:val="004A582C"/>
    <w:rsid w:val="004A6123"/>
    <w:rsid w:val="004A7D5A"/>
    <w:rsid w:val="004B00C8"/>
    <w:rsid w:val="004B1661"/>
    <w:rsid w:val="004B16A5"/>
    <w:rsid w:val="004B1745"/>
    <w:rsid w:val="004B2F96"/>
    <w:rsid w:val="004B321D"/>
    <w:rsid w:val="004B3D7B"/>
    <w:rsid w:val="004B4054"/>
    <w:rsid w:val="004B522A"/>
    <w:rsid w:val="004B570F"/>
    <w:rsid w:val="004B5A0C"/>
    <w:rsid w:val="004B5B7F"/>
    <w:rsid w:val="004B7052"/>
    <w:rsid w:val="004B708D"/>
    <w:rsid w:val="004B7BFD"/>
    <w:rsid w:val="004C0457"/>
    <w:rsid w:val="004C0A0F"/>
    <w:rsid w:val="004C1F51"/>
    <w:rsid w:val="004C2374"/>
    <w:rsid w:val="004C2429"/>
    <w:rsid w:val="004C253C"/>
    <w:rsid w:val="004C29D3"/>
    <w:rsid w:val="004C312A"/>
    <w:rsid w:val="004C3ED6"/>
    <w:rsid w:val="004C44CA"/>
    <w:rsid w:val="004C4D2E"/>
    <w:rsid w:val="004C528C"/>
    <w:rsid w:val="004C5630"/>
    <w:rsid w:val="004C5876"/>
    <w:rsid w:val="004C6978"/>
    <w:rsid w:val="004C7538"/>
    <w:rsid w:val="004D0B60"/>
    <w:rsid w:val="004D113C"/>
    <w:rsid w:val="004D1452"/>
    <w:rsid w:val="004D2AB9"/>
    <w:rsid w:val="004D2D4E"/>
    <w:rsid w:val="004D338B"/>
    <w:rsid w:val="004D3A8F"/>
    <w:rsid w:val="004D4B55"/>
    <w:rsid w:val="004D6B69"/>
    <w:rsid w:val="004D7EB6"/>
    <w:rsid w:val="004D7F31"/>
    <w:rsid w:val="004E19AA"/>
    <w:rsid w:val="004E1FA1"/>
    <w:rsid w:val="004E3006"/>
    <w:rsid w:val="004E3A16"/>
    <w:rsid w:val="004E3D75"/>
    <w:rsid w:val="004E4519"/>
    <w:rsid w:val="004E74D3"/>
    <w:rsid w:val="004E7A16"/>
    <w:rsid w:val="004F00D3"/>
    <w:rsid w:val="004F096C"/>
    <w:rsid w:val="004F0B74"/>
    <w:rsid w:val="004F129B"/>
    <w:rsid w:val="004F199D"/>
    <w:rsid w:val="004F265D"/>
    <w:rsid w:val="004F2BBE"/>
    <w:rsid w:val="004F2C9B"/>
    <w:rsid w:val="004F3445"/>
    <w:rsid w:val="004F35C4"/>
    <w:rsid w:val="004F39F3"/>
    <w:rsid w:val="004F45E1"/>
    <w:rsid w:val="004F5BC5"/>
    <w:rsid w:val="004F602B"/>
    <w:rsid w:val="004F717A"/>
    <w:rsid w:val="004F7B45"/>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65C"/>
    <w:rsid w:val="00505C47"/>
    <w:rsid w:val="005069F5"/>
    <w:rsid w:val="00506B19"/>
    <w:rsid w:val="00510532"/>
    <w:rsid w:val="00510CDA"/>
    <w:rsid w:val="005114BD"/>
    <w:rsid w:val="00511805"/>
    <w:rsid w:val="0051212A"/>
    <w:rsid w:val="005121A4"/>
    <w:rsid w:val="00512BD7"/>
    <w:rsid w:val="00512EB0"/>
    <w:rsid w:val="00512EF8"/>
    <w:rsid w:val="0051380A"/>
    <w:rsid w:val="00513811"/>
    <w:rsid w:val="00513A9E"/>
    <w:rsid w:val="00514310"/>
    <w:rsid w:val="00514792"/>
    <w:rsid w:val="00514B92"/>
    <w:rsid w:val="00515386"/>
    <w:rsid w:val="00515429"/>
    <w:rsid w:val="00515661"/>
    <w:rsid w:val="00515BFD"/>
    <w:rsid w:val="0051675C"/>
    <w:rsid w:val="00516D7C"/>
    <w:rsid w:val="0052094B"/>
    <w:rsid w:val="00520D23"/>
    <w:rsid w:val="00521B1A"/>
    <w:rsid w:val="00522ABC"/>
    <w:rsid w:val="00523045"/>
    <w:rsid w:val="00523BA3"/>
    <w:rsid w:val="00524306"/>
    <w:rsid w:val="00524569"/>
    <w:rsid w:val="00524A89"/>
    <w:rsid w:val="00525263"/>
    <w:rsid w:val="005276E4"/>
    <w:rsid w:val="00527DDF"/>
    <w:rsid w:val="00530286"/>
    <w:rsid w:val="005314FA"/>
    <w:rsid w:val="00531905"/>
    <w:rsid w:val="005322DA"/>
    <w:rsid w:val="00532316"/>
    <w:rsid w:val="0053288B"/>
    <w:rsid w:val="0053320A"/>
    <w:rsid w:val="00534936"/>
    <w:rsid w:val="0053530B"/>
    <w:rsid w:val="00535397"/>
    <w:rsid w:val="0053550F"/>
    <w:rsid w:val="005357D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46FE"/>
    <w:rsid w:val="005456C3"/>
    <w:rsid w:val="00545893"/>
    <w:rsid w:val="00545D65"/>
    <w:rsid w:val="00545E0E"/>
    <w:rsid w:val="00545E5E"/>
    <w:rsid w:val="0054750C"/>
    <w:rsid w:val="00547854"/>
    <w:rsid w:val="00547B54"/>
    <w:rsid w:val="0055106B"/>
    <w:rsid w:val="005519E6"/>
    <w:rsid w:val="00551CA8"/>
    <w:rsid w:val="0055318B"/>
    <w:rsid w:val="00553254"/>
    <w:rsid w:val="005536E1"/>
    <w:rsid w:val="005538F7"/>
    <w:rsid w:val="00553B80"/>
    <w:rsid w:val="00553C4D"/>
    <w:rsid w:val="005544D7"/>
    <w:rsid w:val="00554C89"/>
    <w:rsid w:val="00554E42"/>
    <w:rsid w:val="005559E5"/>
    <w:rsid w:val="00556A7A"/>
    <w:rsid w:val="005573B6"/>
    <w:rsid w:val="005574CC"/>
    <w:rsid w:val="00557D61"/>
    <w:rsid w:val="00557FB1"/>
    <w:rsid w:val="0056085B"/>
    <w:rsid w:val="0056178B"/>
    <w:rsid w:val="0056181D"/>
    <w:rsid w:val="005625CF"/>
    <w:rsid w:val="00562F47"/>
    <w:rsid w:val="00563041"/>
    <w:rsid w:val="005636F0"/>
    <w:rsid w:val="0056382A"/>
    <w:rsid w:val="005640F9"/>
    <w:rsid w:val="00564914"/>
    <w:rsid w:val="00564B46"/>
    <w:rsid w:val="00565368"/>
    <w:rsid w:val="00565965"/>
    <w:rsid w:val="00566047"/>
    <w:rsid w:val="005663BD"/>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05C"/>
    <w:rsid w:val="005751FE"/>
    <w:rsid w:val="00575395"/>
    <w:rsid w:val="005758B5"/>
    <w:rsid w:val="00575972"/>
    <w:rsid w:val="00575A8C"/>
    <w:rsid w:val="00575CAB"/>
    <w:rsid w:val="00575CB8"/>
    <w:rsid w:val="005767F7"/>
    <w:rsid w:val="00576965"/>
    <w:rsid w:val="00576B6A"/>
    <w:rsid w:val="005771E3"/>
    <w:rsid w:val="0057746F"/>
    <w:rsid w:val="00580362"/>
    <w:rsid w:val="005809BC"/>
    <w:rsid w:val="00580B05"/>
    <w:rsid w:val="00580C1C"/>
    <w:rsid w:val="005825C9"/>
    <w:rsid w:val="005827D3"/>
    <w:rsid w:val="00583B14"/>
    <w:rsid w:val="005843A4"/>
    <w:rsid w:val="00584610"/>
    <w:rsid w:val="005848BC"/>
    <w:rsid w:val="00584C16"/>
    <w:rsid w:val="0058549A"/>
    <w:rsid w:val="00585F9F"/>
    <w:rsid w:val="0058690C"/>
    <w:rsid w:val="00586EDD"/>
    <w:rsid w:val="00586F65"/>
    <w:rsid w:val="00586F85"/>
    <w:rsid w:val="0058710A"/>
    <w:rsid w:val="00587903"/>
    <w:rsid w:val="00590B1C"/>
    <w:rsid w:val="00590C4D"/>
    <w:rsid w:val="005912A9"/>
    <w:rsid w:val="0059133E"/>
    <w:rsid w:val="0059160E"/>
    <w:rsid w:val="00591808"/>
    <w:rsid w:val="00592151"/>
    <w:rsid w:val="0059237E"/>
    <w:rsid w:val="00592797"/>
    <w:rsid w:val="005928AE"/>
    <w:rsid w:val="00592ACD"/>
    <w:rsid w:val="005933F9"/>
    <w:rsid w:val="00593750"/>
    <w:rsid w:val="005937E8"/>
    <w:rsid w:val="00594244"/>
    <w:rsid w:val="0059432C"/>
    <w:rsid w:val="00594CF0"/>
    <w:rsid w:val="0059561E"/>
    <w:rsid w:val="00595B8F"/>
    <w:rsid w:val="00595C9D"/>
    <w:rsid w:val="00595DB5"/>
    <w:rsid w:val="00595E3B"/>
    <w:rsid w:val="0059647A"/>
    <w:rsid w:val="0059707D"/>
    <w:rsid w:val="00597CC6"/>
    <w:rsid w:val="005A1883"/>
    <w:rsid w:val="005A3259"/>
    <w:rsid w:val="005A3329"/>
    <w:rsid w:val="005A3898"/>
    <w:rsid w:val="005A3C2D"/>
    <w:rsid w:val="005A3FF9"/>
    <w:rsid w:val="005A5D94"/>
    <w:rsid w:val="005A63F3"/>
    <w:rsid w:val="005A7255"/>
    <w:rsid w:val="005A76A6"/>
    <w:rsid w:val="005A7ACB"/>
    <w:rsid w:val="005A7BAC"/>
    <w:rsid w:val="005B03B9"/>
    <w:rsid w:val="005B0BA2"/>
    <w:rsid w:val="005B1D60"/>
    <w:rsid w:val="005B1FD8"/>
    <w:rsid w:val="005B24AE"/>
    <w:rsid w:val="005B267D"/>
    <w:rsid w:val="005B3C58"/>
    <w:rsid w:val="005B403B"/>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FAC"/>
    <w:rsid w:val="005C5106"/>
    <w:rsid w:val="005C55F4"/>
    <w:rsid w:val="005C6743"/>
    <w:rsid w:val="005C68ED"/>
    <w:rsid w:val="005C783E"/>
    <w:rsid w:val="005C7E5A"/>
    <w:rsid w:val="005D09BF"/>
    <w:rsid w:val="005D2E72"/>
    <w:rsid w:val="005D2ED6"/>
    <w:rsid w:val="005D3760"/>
    <w:rsid w:val="005D4A38"/>
    <w:rsid w:val="005D5625"/>
    <w:rsid w:val="005D5B9A"/>
    <w:rsid w:val="005D7019"/>
    <w:rsid w:val="005D7FBB"/>
    <w:rsid w:val="005E0C1B"/>
    <w:rsid w:val="005E1120"/>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6D3"/>
    <w:rsid w:val="005F0C2B"/>
    <w:rsid w:val="005F0C36"/>
    <w:rsid w:val="005F1675"/>
    <w:rsid w:val="005F1707"/>
    <w:rsid w:val="005F21F5"/>
    <w:rsid w:val="005F2D6F"/>
    <w:rsid w:val="005F2F76"/>
    <w:rsid w:val="005F30D2"/>
    <w:rsid w:val="005F31DE"/>
    <w:rsid w:val="005F3BA1"/>
    <w:rsid w:val="005F50B1"/>
    <w:rsid w:val="005F547B"/>
    <w:rsid w:val="005F57B1"/>
    <w:rsid w:val="005F5D9E"/>
    <w:rsid w:val="005F674C"/>
    <w:rsid w:val="005F682A"/>
    <w:rsid w:val="005F7170"/>
    <w:rsid w:val="005F770F"/>
    <w:rsid w:val="00600320"/>
    <w:rsid w:val="0060106F"/>
    <w:rsid w:val="006017D2"/>
    <w:rsid w:val="0060187D"/>
    <w:rsid w:val="006025F0"/>
    <w:rsid w:val="006049F1"/>
    <w:rsid w:val="00604A16"/>
    <w:rsid w:val="00604CFA"/>
    <w:rsid w:val="006070C6"/>
    <w:rsid w:val="006070F4"/>
    <w:rsid w:val="006107D9"/>
    <w:rsid w:val="00610E92"/>
    <w:rsid w:val="0061129B"/>
    <w:rsid w:val="00611671"/>
    <w:rsid w:val="006132CB"/>
    <w:rsid w:val="0061337D"/>
    <w:rsid w:val="00613CBE"/>
    <w:rsid w:val="00614762"/>
    <w:rsid w:val="00616245"/>
    <w:rsid w:val="00616647"/>
    <w:rsid w:val="006175E9"/>
    <w:rsid w:val="00617FF3"/>
    <w:rsid w:val="006200F6"/>
    <w:rsid w:val="00622310"/>
    <w:rsid w:val="00622C4A"/>
    <w:rsid w:val="00622D9D"/>
    <w:rsid w:val="00623247"/>
    <w:rsid w:val="00623D2F"/>
    <w:rsid w:val="006241C0"/>
    <w:rsid w:val="00624A5E"/>
    <w:rsid w:val="00624DAB"/>
    <w:rsid w:val="006251D2"/>
    <w:rsid w:val="00625FF4"/>
    <w:rsid w:val="00627C22"/>
    <w:rsid w:val="0063023E"/>
    <w:rsid w:val="00631D0A"/>
    <w:rsid w:val="00631FD5"/>
    <w:rsid w:val="00632138"/>
    <w:rsid w:val="006321F8"/>
    <w:rsid w:val="00633070"/>
    <w:rsid w:val="0063366F"/>
    <w:rsid w:val="006337CF"/>
    <w:rsid w:val="00633C50"/>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C62"/>
    <w:rsid w:val="00650F6C"/>
    <w:rsid w:val="00651659"/>
    <w:rsid w:val="0065199E"/>
    <w:rsid w:val="00651F0C"/>
    <w:rsid w:val="00651F25"/>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6614"/>
    <w:rsid w:val="00686F49"/>
    <w:rsid w:val="00687EF8"/>
    <w:rsid w:val="006910C3"/>
    <w:rsid w:val="006916E5"/>
    <w:rsid w:val="006919D6"/>
    <w:rsid w:val="00693952"/>
    <w:rsid w:val="00694FAC"/>
    <w:rsid w:val="0069504F"/>
    <w:rsid w:val="006953BB"/>
    <w:rsid w:val="00695F73"/>
    <w:rsid w:val="006965CF"/>
    <w:rsid w:val="00696BD0"/>
    <w:rsid w:val="00696DA7"/>
    <w:rsid w:val="00697935"/>
    <w:rsid w:val="00697EC1"/>
    <w:rsid w:val="006A1279"/>
    <w:rsid w:val="006A181F"/>
    <w:rsid w:val="006A1F31"/>
    <w:rsid w:val="006A20FC"/>
    <w:rsid w:val="006A246A"/>
    <w:rsid w:val="006A307A"/>
    <w:rsid w:val="006A3275"/>
    <w:rsid w:val="006A3812"/>
    <w:rsid w:val="006A4581"/>
    <w:rsid w:val="006A4ADD"/>
    <w:rsid w:val="006A4E6F"/>
    <w:rsid w:val="006A54BE"/>
    <w:rsid w:val="006A5BE3"/>
    <w:rsid w:val="006A5EBA"/>
    <w:rsid w:val="006A6CBF"/>
    <w:rsid w:val="006A6E6E"/>
    <w:rsid w:val="006A6E86"/>
    <w:rsid w:val="006A7393"/>
    <w:rsid w:val="006A7B7C"/>
    <w:rsid w:val="006B11AA"/>
    <w:rsid w:val="006B2FF1"/>
    <w:rsid w:val="006B3122"/>
    <w:rsid w:val="006B3BFB"/>
    <w:rsid w:val="006B3D24"/>
    <w:rsid w:val="006B4530"/>
    <w:rsid w:val="006B483D"/>
    <w:rsid w:val="006B4899"/>
    <w:rsid w:val="006B4CC3"/>
    <w:rsid w:val="006B5F9A"/>
    <w:rsid w:val="006B654E"/>
    <w:rsid w:val="006B6CB4"/>
    <w:rsid w:val="006B6E89"/>
    <w:rsid w:val="006B770B"/>
    <w:rsid w:val="006B7841"/>
    <w:rsid w:val="006C01D8"/>
    <w:rsid w:val="006C0A02"/>
    <w:rsid w:val="006C1144"/>
    <w:rsid w:val="006C158C"/>
    <w:rsid w:val="006C2DA6"/>
    <w:rsid w:val="006C2F28"/>
    <w:rsid w:val="006C377A"/>
    <w:rsid w:val="006C3D96"/>
    <w:rsid w:val="006C457B"/>
    <w:rsid w:val="006C504F"/>
    <w:rsid w:val="006C5408"/>
    <w:rsid w:val="006C64B3"/>
    <w:rsid w:val="006C7D03"/>
    <w:rsid w:val="006C7E91"/>
    <w:rsid w:val="006D02AA"/>
    <w:rsid w:val="006D06FB"/>
    <w:rsid w:val="006D0D67"/>
    <w:rsid w:val="006D3A44"/>
    <w:rsid w:val="006D3A9F"/>
    <w:rsid w:val="006D3DAF"/>
    <w:rsid w:val="006D438A"/>
    <w:rsid w:val="006D5222"/>
    <w:rsid w:val="006D56F3"/>
    <w:rsid w:val="006D66A2"/>
    <w:rsid w:val="006D6C10"/>
    <w:rsid w:val="006D6CB5"/>
    <w:rsid w:val="006D7649"/>
    <w:rsid w:val="006E04F7"/>
    <w:rsid w:val="006E0E9F"/>
    <w:rsid w:val="006E1BDE"/>
    <w:rsid w:val="006E22C5"/>
    <w:rsid w:val="006E2336"/>
    <w:rsid w:val="006E2C24"/>
    <w:rsid w:val="006E3142"/>
    <w:rsid w:val="006E31F6"/>
    <w:rsid w:val="006E39AF"/>
    <w:rsid w:val="006E3B66"/>
    <w:rsid w:val="006E3B96"/>
    <w:rsid w:val="006E46A9"/>
    <w:rsid w:val="006E481B"/>
    <w:rsid w:val="006E4AD2"/>
    <w:rsid w:val="006E51D8"/>
    <w:rsid w:val="006E6307"/>
    <w:rsid w:val="006E686C"/>
    <w:rsid w:val="006E6F9A"/>
    <w:rsid w:val="006E7ACB"/>
    <w:rsid w:val="006E7CA4"/>
    <w:rsid w:val="006E7E08"/>
    <w:rsid w:val="006E7F92"/>
    <w:rsid w:val="006F0073"/>
    <w:rsid w:val="006F09E3"/>
    <w:rsid w:val="006F0FF9"/>
    <w:rsid w:val="006F1382"/>
    <w:rsid w:val="006F13E6"/>
    <w:rsid w:val="006F35A4"/>
    <w:rsid w:val="006F4263"/>
    <w:rsid w:val="006F42C7"/>
    <w:rsid w:val="006F4354"/>
    <w:rsid w:val="006F44F3"/>
    <w:rsid w:val="006F4842"/>
    <w:rsid w:val="006F4A74"/>
    <w:rsid w:val="006F5BE8"/>
    <w:rsid w:val="006F5C96"/>
    <w:rsid w:val="006F71CF"/>
    <w:rsid w:val="006F7BE5"/>
    <w:rsid w:val="00700936"/>
    <w:rsid w:val="00700E2C"/>
    <w:rsid w:val="007011C0"/>
    <w:rsid w:val="0070153F"/>
    <w:rsid w:val="0070250E"/>
    <w:rsid w:val="00702787"/>
    <w:rsid w:val="00703056"/>
    <w:rsid w:val="0070337F"/>
    <w:rsid w:val="00703F5B"/>
    <w:rsid w:val="00704227"/>
    <w:rsid w:val="00704ADB"/>
    <w:rsid w:val="007051AB"/>
    <w:rsid w:val="00705AA1"/>
    <w:rsid w:val="00707179"/>
    <w:rsid w:val="0070763D"/>
    <w:rsid w:val="007076D5"/>
    <w:rsid w:val="007079BF"/>
    <w:rsid w:val="00707B4F"/>
    <w:rsid w:val="00707DDC"/>
    <w:rsid w:val="00710D7F"/>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17"/>
    <w:rsid w:val="00721CC5"/>
    <w:rsid w:val="00721D2A"/>
    <w:rsid w:val="00721EB3"/>
    <w:rsid w:val="00722645"/>
    <w:rsid w:val="00723201"/>
    <w:rsid w:val="007237C5"/>
    <w:rsid w:val="00723DBE"/>
    <w:rsid w:val="007246F3"/>
    <w:rsid w:val="00725398"/>
    <w:rsid w:val="00725661"/>
    <w:rsid w:val="0072608C"/>
    <w:rsid w:val="007264B6"/>
    <w:rsid w:val="00727257"/>
    <w:rsid w:val="007303EC"/>
    <w:rsid w:val="007305DA"/>
    <w:rsid w:val="00730B6F"/>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24"/>
    <w:rsid w:val="00741A52"/>
    <w:rsid w:val="00743E0E"/>
    <w:rsid w:val="007458C9"/>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3A"/>
    <w:rsid w:val="00763FCB"/>
    <w:rsid w:val="00764794"/>
    <w:rsid w:val="00764A5B"/>
    <w:rsid w:val="00764ABF"/>
    <w:rsid w:val="00764C44"/>
    <w:rsid w:val="007651A0"/>
    <w:rsid w:val="007657DA"/>
    <w:rsid w:val="00765E4B"/>
    <w:rsid w:val="00766AC1"/>
    <w:rsid w:val="00766D76"/>
    <w:rsid w:val="007700C6"/>
    <w:rsid w:val="00770867"/>
    <w:rsid w:val="00770F2D"/>
    <w:rsid w:val="0077216D"/>
    <w:rsid w:val="00772664"/>
    <w:rsid w:val="00772A8B"/>
    <w:rsid w:val="00772B40"/>
    <w:rsid w:val="0077304F"/>
    <w:rsid w:val="0077384E"/>
    <w:rsid w:val="00773A01"/>
    <w:rsid w:val="00773FF2"/>
    <w:rsid w:val="00774493"/>
    <w:rsid w:val="007757F5"/>
    <w:rsid w:val="00775948"/>
    <w:rsid w:val="00776251"/>
    <w:rsid w:val="00776267"/>
    <w:rsid w:val="0077676B"/>
    <w:rsid w:val="00777370"/>
    <w:rsid w:val="00777696"/>
    <w:rsid w:val="00777A86"/>
    <w:rsid w:val="007800D7"/>
    <w:rsid w:val="007804E4"/>
    <w:rsid w:val="007808DF"/>
    <w:rsid w:val="00781B32"/>
    <w:rsid w:val="007822EE"/>
    <w:rsid w:val="00782A02"/>
    <w:rsid w:val="00782B76"/>
    <w:rsid w:val="00782D11"/>
    <w:rsid w:val="007833DB"/>
    <w:rsid w:val="0078349C"/>
    <w:rsid w:val="007840BD"/>
    <w:rsid w:val="007854AC"/>
    <w:rsid w:val="00786261"/>
    <w:rsid w:val="00786547"/>
    <w:rsid w:val="00787018"/>
    <w:rsid w:val="007870F1"/>
    <w:rsid w:val="00787A98"/>
    <w:rsid w:val="00791531"/>
    <w:rsid w:val="007916C6"/>
    <w:rsid w:val="00793E58"/>
    <w:rsid w:val="007951D7"/>
    <w:rsid w:val="00795987"/>
    <w:rsid w:val="00795CF6"/>
    <w:rsid w:val="00796566"/>
    <w:rsid w:val="007976BE"/>
    <w:rsid w:val="00797957"/>
    <w:rsid w:val="007A0191"/>
    <w:rsid w:val="007A034B"/>
    <w:rsid w:val="007A0A59"/>
    <w:rsid w:val="007A0E13"/>
    <w:rsid w:val="007A1078"/>
    <w:rsid w:val="007A1412"/>
    <w:rsid w:val="007A23FA"/>
    <w:rsid w:val="007A28F9"/>
    <w:rsid w:val="007A38E7"/>
    <w:rsid w:val="007A518D"/>
    <w:rsid w:val="007A58C7"/>
    <w:rsid w:val="007A5CB9"/>
    <w:rsid w:val="007A6C1C"/>
    <w:rsid w:val="007A6CB2"/>
    <w:rsid w:val="007A6CCC"/>
    <w:rsid w:val="007A6DA7"/>
    <w:rsid w:val="007A6E74"/>
    <w:rsid w:val="007B00EC"/>
    <w:rsid w:val="007B012A"/>
    <w:rsid w:val="007B02B1"/>
    <w:rsid w:val="007B0741"/>
    <w:rsid w:val="007B1799"/>
    <w:rsid w:val="007B17F0"/>
    <w:rsid w:val="007B1906"/>
    <w:rsid w:val="007B26B0"/>
    <w:rsid w:val="007B2786"/>
    <w:rsid w:val="007B29E4"/>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B71"/>
    <w:rsid w:val="007C218E"/>
    <w:rsid w:val="007C2BE1"/>
    <w:rsid w:val="007C3723"/>
    <w:rsid w:val="007C390C"/>
    <w:rsid w:val="007C4B35"/>
    <w:rsid w:val="007C5584"/>
    <w:rsid w:val="007C65C3"/>
    <w:rsid w:val="007C706C"/>
    <w:rsid w:val="007C78C2"/>
    <w:rsid w:val="007C7E68"/>
    <w:rsid w:val="007D0C8E"/>
    <w:rsid w:val="007D15E3"/>
    <w:rsid w:val="007D1898"/>
    <w:rsid w:val="007D1A56"/>
    <w:rsid w:val="007D2595"/>
    <w:rsid w:val="007D2CDE"/>
    <w:rsid w:val="007D3A79"/>
    <w:rsid w:val="007D3B9C"/>
    <w:rsid w:val="007D4C02"/>
    <w:rsid w:val="007D5A08"/>
    <w:rsid w:val="007D635B"/>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F15AA"/>
    <w:rsid w:val="007F15FE"/>
    <w:rsid w:val="007F165D"/>
    <w:rsid w:val="007F1BF5"/>
    <w:rsid w:val="007F1CF4"/>
    <w:rsid w:val="007F2A03"/>
    <w:rsid w:val="007F3211"/>
    <w:rsid w:val="007F330A"/>
    <w:rsid w:val="007F358C"/>
    <w:rsid w:val="007F4246"/>
    <w:rsid w:val="007F4FE2"/>
    <w:rsid w:val="007F6DA0"/>
    <w:rsid w:val="007F72C3"/>
    <w:rsid w:val="00800604"/>
    <w:rsid w:val="00800632"/>
    <w:rsid w:val="0080195D"/>
    <w:rsid w:val="00802924"/>
    <w:rsid w:val="00802E6B"/>
    <w:rsid w:val="0080391C"/>
    <w:rsid w:val="00804265"/>
    <w:rsid w:val="0080473B"/>
    <w:rsid w:val="008050FC"/>
    <w:rsid w:val="0080626E"/>
    <w:rsid w:val="00806390"/>
    <w:rsid w:val="00806697"/>
    <w:rsid w:val="00806A7F"/>
    <w:rsid w:val="00807838"/>
    <w:rsid w:val="00807D1E"/>
    <w:rsid w:val="008109CD"/>
    <w:rsid w:val="00810B76"/>
    <w:rsid w:val="00810E74"/>
    <w:rsid w:val="00811E35"/>
    <w:rsid w:val="0081262E"/>
    <w:rsid w:val="008130A4"/>
    <w:rsid w:val="00813472"/>
    <w:rsid w:val="00814FBF"/>
    <w:rsid w:val="008162CA"/>
    <w:rsid w:val="00816D94"/>
    <w:rsid w:val="00816EBA"/>
    <w:rsid w:val="0081795A"/>
    <w:rsid w:val="0082070A"/>
    <w:rsid w:val="00821400"/>
    <w:rsid w:val="00821542"/>
    <w:rsid w:val="00821D6C"/>
    <w:rsid w:val="0082274C"/>
    <w:rsid w:val="00823365"/>
    <w:rsid w:val="0082387A"/>
    <w:rsid w:val="00823A95"/>
    <w:rsid w:val="00823CA3"/>
    <w:rsid w:val="0082407F"/>
    <w:rsid w:val="008246C1"/>
    <w:rsid w:val="008247ED"/>
    <w:rsid w:val="0082494F"/>
    <w:rsid w:val="0082525B"/>
    <w:rsid w:val="00825A9E"/>
    <w:rsid w:val="008261A9"/>
    <w:rsid w:val="0082712C"/>
    <w:rsid w:val="0082792E"/>
    <w:rsid w:val="00830785"/>
    <w:rsid w:val="00830900"/>
    <w:rsid w:val="0083091F"/>
    <w:rsid w:val="00830FE5"/>
    <w:rsid w:val="008342EE"/>
    <w:rsid w:val="0083460F"/>
    <w:rsid w:val="008349B0"/>
    <w:rsid w:val="008352C2"/>
    <w:rsid w:val="0083550E"/>
    <w:rsid w:val="00836110"/>
    <w:rsid w:val="0084128F"/>
    <w:rsid w:val="008412A4"/>
    <w:rsid w:val="00841EFC"/>
    <w:rsid w:val="00842B85"/>
    <w:rsid w:val="00842C7E"/>
    <w:rsid w:val="0084338F"/>
    <w:rsid w:val="00843501"/>
    <w:rsid w:val="008441A4"/>
    <w:rsid w:val="00844310"/>
    <w:rsid w:val="008462E7"/>
    <w:rsid w:val="00846EDB"/>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FD2"/>
    <w:rsid w:val="00856585"/>
    <w:rsid w:val="00856B01"/>
    <w:rsid w:val="00856BC3"/>
    <w:rsid w:val="0086007E"/>
    <w:rsid w:val="008618E0"/>
    <w:rsid w:val="00861DEA"/>
    <w:rsid w:val="00862049"/>
    <w:rsid w:val="0086291A"/>
    <w:rsid w:val="00863391"/>
    <w:rsid w:val="0086351E"/>
    <w:rsid w:val="0086393D"/>
    <w:rsid w:val="00863AE9"/>
    <w:rsid w:val="00865845"/>
    <w:rsid w:val="00865F52"/>
    <w:rsid w:val="00866B92"/>
    <w:rsid w:val="00870849"/>
    <w:rsid w:val="0087096E"/>
    <w:rsid w:val="008717D3"/>
    <w:rsid w:val="00871903"/>
    <w:rsid w:val="00872960"/>
    <w:rsid w:val="00873F63"/>
    <w:rsid w:val="008744E3"/>
    <w:rsid w:val="0087484C"/>
    <w:rsid w:val="008750C0"/>
    <w:rsid w:val="00875991"/>
    <w:rsid w:val="008760D5"/>
    <w:rsid w:val="00880266"/>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7824"/>
    <w:rsid w:val="00887E0D"/>
    <w:rsid w:val="00887FF4"/>
    <w:rsid w:val="00890A5C"/>
    <w:rsid w:val="008910C5"/>
    <w:rsid w:val="00891D46"/>
    <w:rsid w:val="00893900"/>
    <w:rsid w:val="00894CC5"/>
    <w:rsid w:val="00894FCD"/>
    <w:rsid w:val="00896217"/>
    <w:rsid w:val="0089679F"/>
    <w:rsid w:val="00896BCC"/>
    <w:rsid w:val="00897944"/>
    <w:rsid w:val="00897CFD"/>
    <w:rsid w:val="008A00FD"/>
    <w:rsid w:val="008A0C74"/>
    <w:rsid w:val="008A1714"/>
    <w:rsid w:val="008A1D38"/>
    <w:rsid w:val="008A1E21"/>
    <w:rsid w:val="008A1F17"/>
    <w:rsid w:val="008A232F"/>
    <w:rsid w:val="008A23DB"/>
    <w:rsid w:val="008A245B"/>
    <w:rsid w:val="008A32A2"/>
    <w:rsid w:val="008A3675"/>
    <w:rsid w:val="008A39F3"/>
    <w:rsid w:val="008A3DAD"/>
    <w:rsid w:val="008A426C"/>
    <w:rsid w:val="008A47D0"/>
    <w:rsid w:val="008A51C9"/>
    <w:rsid w:val="008A5D28"/>
    <w:rsid w:val="008A690C"/>
    <w:rsid w:val="008A6B28"/>
    <w:rsid w:val="008A783D"/>
    <w:rsid w:val="008A7DCA"/>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B5B"/>
    <w:rsid w:val="008C3CD0"/>
    <w:rsid w:val="008C43FA"/>
    <w:rsid w:val="008C5E14"/>
    <w:rsid w:val="008C63E1"/>
    <w:rsid w:val="008C6953"/>
    <w:rsid w:val="008C7BBB"/>
    <w:rsid w:val="008D100A"/>
    <w:rsid w:val="008D1877"/>
    <w:rsid w:val="008D223F"/>
    <w:rsid w:val="008D2275"/>
    <w:rsid w:val="008D258B"/>
    <w:rsid w:val="008D2598"/>
    <w:rsid w:val="008D2A0E"/>
    <w:rsid w:val="008D2B40"/>
    <w:rsid w:val="008D3048"/>
    <w:rsid w:val="008D35FB"/>
    <w:rsid w:val="008D3A84"/>
    <w:rsid w:val="008D5535"/>
    <w:rsid w:val="008D5F6C"/>
    <w:rsid w:val="008D6591"/>
    <w:rsid w:val="008D6F91"/>
    <w:rsid w:val="008E03DD"/>
    <w:rsid w:val="008E048C"/>
    <w:rsid w:val="008E0DBA"/>
    <w:rsid w:val="008E13E3"/>
    <w:rsid w:val="008E1D80"/>
    <w:rsid w:val="008E1EB7"/>
    <w:rsid w:val="008E3495"/>
    <w:rsid w:val="008E3D8B"/>
    <w:rsid w:val="008E4271"/>
    <w:rsid w:val="008E4ED7"/>
    <w:rsid w:val="008E5747"/>
    <w:rsid w:val="008E630A"/>
    <w:rsid w:val="008E68BF"/>
    <w:rsid w:val="008E7589"/>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AF0"/>
    <w:rsid w:val="008F7FD3"/>
    <w:rsid w:val="00900172"/>
    <w:rsid w:val="009001E2"/>
    <w:rsid w:val="0090058B"/>
    <w:rsid w:val="00900616"/>
    <w:rsid w:val="009014BA"/>
    <w:rsid w:val="009027D2"/>
    <w:rsid w:val="00903CA0"/>
    <w:rsid w:val="00903EFA"/>
    <w:rsid w:val="00904E7E"/>
    <w:rsid w:val="00905A2F"/>
    <w:rsid w:val="00906019"/>
    <w:rsid w:val="00906740"/>
    <w:rsid w:val="00906AF4"/>
    <w:rsid w:val="00907564"/>
    <w:rsid w:val="0090783E"/>
    <w:rsid w:val="00907F0A"/>
    <w:rsid w:val="00910439"/>
    <w:rsid w:val="00910CD4"/>
    <w:rsid w:val="00910FC7"/>
    <w:rsid w:val="00911C49"/>
    <w:rsid w:val="00913351"/>
    <w:rsid w:val="00913720"/>
    <w:rsid w:val="009137D5"/>
    <w:rsid w:val="009137EB"/>
    <w:rsid w:val="0091442B"/>
    <w:rsid w:val="00914545"/>
    <w:rsid w:val="009145B3"/>
    <w:rsid w:val="00914D91"/>
    <w:rsid w:val="009152B7"/>
    <w:rsid w:val="009153E5"/>
    <w:rsid w:val="0091556C"/>
    <w:rsid w:val="009164AF"/>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24A"/>
    <w:rsid w:val="009275EC"/>
    <w:rsid w:val="009277A6"/>
    <w:rsid w:val="00930587"/>
    <w:rsid w:val="00930F4A"/>
    <w:rsid w:val="009310C2"/>
    <w:rsid w:val="00932075"/>
    <w:rsid w:val="009324E6"/>
    <w:rsid w:val="00932A18"/>
    <w:rsid w:val="00932F0A"/>
    <w:rsid w:val="0093430D"/>
    <w:rsid w:val="0093478F"/>
    <w:rsid w:val="00934797"/>
    <w:rsid w:val="00935510"/>
    <w:rsid w:val="00935750"/>
    <w:rsid w:val="0093594C"/>
    <w:rsid w:val="009359DF"/>
    <w:rsid w:val="00935E04"/>
    <w:rsid w:val="00935E37"/>
    <w:rsid w:val="009366A4"/>
    <w:rsid w:val="009372D3"/>
    <w:rsid w:val="00937726"/>
    <w:rsid w:val="009378BD"/>
    <w:rsid w:val="009378EB"/>
    <w:rsid w:val="00940253"/>
    <w:rsid w:val="009407A8"/>
    <w:rsid w:val="00940D85"/>
    <w:rsid w:val="00940DA5"/>
    <w:rsid w:val="0094111F"/>
    <w:rsid w:val="0094233E"/>
    <w:rsid w:val="009425EB"/>
    <w:rsid w:val="00942F72"/>
    <w:rsid w:val="00943669"/>
    <w:rsid w:val="00944626"/>
    <w:rsid w:val="00944ACB"/>
    <w:rsid w:val="009458AB"/>
    <w:rsid w:val="00946C6E"/>
    <w:rsid w:val="00946DD8"/>
    <w:rsid w:val="00947B61"/>
    <w:rsid w:val="00947D6A"/>
    <w:rsid w:val="00947E1F"/>
    <w:rsid w:val="00947E62"/>
    <w:rsid w:val="00947E6E"/>
    <w:rsid w:val="00950110"/>
    <w:rsid w:val="0095023B"/>
    <w:rsid w:val="00951006"/>
    <w:rsid w:val="00951A5E"/>
    <w:rsid w:val="0095245D"/>
    <w:rsid w:val="00952649"/>
    <w:rsid w:val="00952934"/>
    <w:rsid w:val="00952D5F"/>
    <w:rsid w:val="00953E96"/>
    <w:rsid w:val="00954018"/>
    <w:rsid w:val="00954930"/>
    <w:rsid w:val="00955300"/>
    <w:rsid w:val="00955B0F"/>
    <w:rsid w:val="00956269"/>
    <w:rsid w:val="00956593"/>
    <w:rsid w:val="009573A0"/>
    <w:rsid w:val="00957483"/>
    <w:rsid w:val="00957670"/>
    <w:rsid w:val="0095772B"/>
    <w:rsid w:val="00957B44"/>
    <w:rsid w:val="00957F3C"/>
    <w:rsid w:val="0096058D"/>
    <w:rsid w:val="009609B4"/>
    <w:rsid w:val="00961887"/>
    <w:rsid w:val="0096201E"/>
    <w:rsid w:val="0096222E"/>
    <w:rsid w:val="00962DC8"/>
    <w:rsid w:val="00963653"/>
    <w:rsid w:val="00963FD6"/>
    <w:rsid w:val="00964BD9"/>
    <w:rsid w:val="0096503D"/>
    <w:rsid w:val="009650EF"/>
    <w:rsid w:val="00965965"/>
    <w:rsid w:val="00965B5D"/>
    <w:rsid w:val="00966215"/>
    <w:rsid w:val="009668A9"/>
    <w:rsid w:val="00967F08"/>
    <w:rsid w:val="00967FB7"/>
    <w:rsid w:val="009704E8"/>
    <w:rsid w:val="00970DE8"/>
    <w:rsid w:val="00970EF8"/>
    <w:rsid w:val="009710AA"/>
    <w:rsid w:val="00971B9C"/>
    <w:rsid w:val="00972A31"/>
    <w:rsid w:val="00972C96"/>
    <w:rsid w:val="009735B0"/>
    <w:rsid w:val="00973C29"/>
    <w:rsid w:val="00974E75"/>
    <w:rsid w:val="0097512C"/>
    <w:rsid w:val="00975C2B"/>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27ED"/>
    <w:rsid w:val="00992B14"/>
    <w:rsid w:val="009946F9"/>
    <w:rsid w:val="009947C7"/>
    <w:rsid w:val="00994BEC"/>
    <w:rsid w:val="00996A69"/>
    <w:rsid w:val="009A06B8"/>
    <w:rsid w:val="009A0CCD"/>
    <w:rsid w:val="009A16DE"/>
    <w:rsid w:val="009A20DB"/>
    <w:rsid w:val="009A35A3"/>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64A8"/>
    <w:rsid w:val="009B6F4B"/>
    <w:rsid w:val="009B7B6E"/>
    <w:rsid w:val="009B7EFD"/>
    <w:rsid w:val="009C05EF"/>
    <w:rsid w:val="009C0A6F"/>
    <w:rsid w:val="009C106D"/>
    <w:rsid w:val="009C11C6"/>
    <w:rsid w:val="009C206E"/>
    <w:rsid w:val="009C2B09"/>
    <w:rsid w:val="009C30A8"/>
    <w:rsid w:val="009C3703"/>
    <w:rsid w:val="009C3A5B"/>
    <w:rsid w:val="009C3EC1"/>
    <w:rsid w:val="009C42AB"/>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DCE"/>
    <w:rsid w:val="009D31EE"/>
    <w:rsid w:val="009D42FF"/>
    <w:rsid w:val="009D439F"/>
    <w:rsid w:val="009D47E5"/>
    <w:rsid w:val="009D50A2"/>
    <w:rsid w:val="009D569B"/>
    <w:rsid w:val="009D5749"/>
    <w:rsid w:val="009D6863"/>
    <w:rsid w:val="009D68C4"/>
    <w:rsid w:val="009D766C"/>
    <w:rsid w:val="009D7DEC"/>
    <w:rsid w:val="009E0261"/>
    <w:rsid w:val="009E02CC"/>
    <w:rsid w:val="009E03A2"/>
    <w:rsid w:val="009E0620"/>
    <w:rsid w:val="009E1453"/>
    <w:rsid w:val="009E20B9"/>
    <w:rsid w:val="009E2315"/>
    <w:rsid w:val="009E2B0B"/>
    <w:rsid w:val="009E2B14"/>
    <w:rsid w:val="009E3362"/>
    <w:rsid w:val="009E3385"/>
    <w:rsid w:val="009E37D3"/>
    <w:rsid w:val="009E403C"/>
    <w:rsid w:val="009E4222"/>
    <w:rsid w:val="009E5068"/>
    <w:rsid w:val="009E57A6"/>
    <w:rsid w:val="009E5D87"/>
    <w:rsid w:val="009E611C"/>
    <w:rsid w:val="009E6302"/>
    <w:rsid w:val="009E6900"/>
    <w:rsid w:val="009E6F00"/>
    <w:rsid w:val="009E76FB"/>
    <w:rsid w:val="009E7A7E"/>
    <w:rsid w:val="009F0842"/>
    <w:rsid w:val="009F15E3"/>
    <w:rsid w:val="009F17A6"/>
    <w:rsid w:val="009F1E96"/>
    <w:rsid w:val="009F2ADF"/>
    <w:rsid w:val="009F3D9B"/>
    <w:rsid w:val="009F6614"/>
    <w:rsid w:val="00A0101E"/>
    <w:rsid w:val="00A0151B"/>
    <w:rsid w:val="00A02549"/>
    <w:rsid w:val="00A039B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2C44"/>
    <w:rsid w:val="00A231B3"/>
    <w:rsid w:val="00A233F7"/>
    <w:rsid w:val="00A2406C"/>
    <w:rsid w:val="00A26E66"/>
    <w:rsid w:val="00A30EC9"/>
    <w:rsid w:val="00A31975"/>
    <w:rsid w:val="00A31F7C"/>
    <w:rsid w:val="00A31FF2"/>
    <w:rsid w:val="00A3215E"/>
    <w:rsid w:val="00A32273"/>
    <w:rsid w:val="00A332E7"/>
    <w:rsid w:val="00A3457D"/>
    <w:rsid w:val="00A353C0"/>
    <w:rsid w:val="00A35A28"/>
    <w:rsid w:val="00A36A91"/>
    <w:rsid w:val="00A36DCF"/>
    <w:rsid w:val="00A36F72"/>
    <w:rsid w:val="00A37173"/>
    <w:rsid w:val="00A372FB"/>
    <w:rsid w:val="00A377D5"/>
    <w:rsid w:val="00A37C85"/>
    <w:rsid w:val="00A40859"/>
    <w:rsid w:val="00A41075"/>
    <w:rsid w:val="00A410C5"/>
    <w:rsid w:val="00A412DA"/>
    <w:rsid w:val="00A419F8"/>
    <w:rsid w:val="00A4229C"/>
    <w:rsid w:val="00A434D1"/>
    <w:rsid w:val="00A43B57"/>
    <w:rsid w:val="00A43ED6"/>
    <w:rsid w:val="00A440F5"/>
    <w:rsid w:val="00A445B6"/>
    <w:rsid w:val="00A44F1A"/>
    <w:rsid w:val="00A45924"/>
    <w:rsid w:val="00A45AD6"/>
    <w:rsid w:val="00A45B10"/>
    <w:rsid w:val="00A4638B"/>
    <w:rsid w:val="00A47BCD"/>
    <w:rsid w:val="00A50E83"/>
    <w:rsid w:val="00A5217E"/>
    <w:rsid w:val="00A523D2"/>
    <w:rsid w:val="00A5437F"/>
    <w:rsid w:val="00A55425"/>
    <w:rsid w:val="00A555D3"/>
    <w:rsid w:val="00A5746A"/>
    <w:rsid w:val="00A57D1B"/>
    <w:rsid w:val="00A57F8D"/>
    <w:rsid w:val="00A60A5C"/>
    <w:rsid w:val="00A619C7"/>
    <w:rsid w:val="00A62738"/>
    <w:rsid w:val="00A62932"/>
    <w:rsid w:val="00A6338F"/>
    <w:rsid w:val="00A65267"/>
    <w:rsid w:val="00A652FF"/>
    <w:rsid w:val="00A656EF"/>
    <w:rsid w:val="00A663D0"/>
    <w:rsid w:val="00A66796"/>
    <w:rsid w:val="00A66E7F"/>
    <w:rsid w:val="00A67128"/>
    <w:rsid w:val="00A705EF"/>
    <w:rsid w:val="00A71FEC"/>
    <w:rsid w:val="00A7201B"/>
    <w:rsid w:val="00A728A6"/>
    <w:rsid w:val="00A72A3E"/>
    <w:rsid w:val="00A72EEB"/>
    <w:rsid w:val="00A73604"/>
    <w:rsid w:val="00A73839"/>
    <w:rsid w:val="00A73E6F"/>
    <w:rsid w:val="00A7455B"/>
    <w:rsid w:val="00A752E9"/>
    <w:rsid w:val="00A77EC2"/>
    <w:rsid w:val="00A80E0A"/>
    <w:rsid w:val="00A8256C"/>
    <w:rsid w:val="00A83296"/>
    <w:rsid w:val="00A835C6"/>
    <w:rsid w:val="00A853D3"/>
    <w:rsid w:val="00A856FC"/>
    <w:rsid w:val="00A858AF"/>
    <w:rsid w:val="00A864C0"/>
    <w:rsid w:val="00A866E1"/>
    <w:rsid w:val="00A86B71"/>
    <w:rsid w:val="00A87028"/>
    <w:rsid w:val="00A87874"/>
    <w:rsid w:val="00A87A03"/>
    <w:rsid w:val="00A87BA2"/>
    <w:rsid w:val="00A87DC5"/>
    <w:rsid w:val="00A90016"/>
    <w:rsid w:val="00A9017A"/>
    <w:rsid w:val="00A91715"/>
    <w:rsid w:val="00A919B2"/>
    <w:rsid w:val="00A91F77"/>
    <w:rsid w:val="00A92A98"/>
    <w:rsid w:val="00A92D6F"/>
    <w:rsid w:val="00A92D73"/>
    <w:rsid w:val="00A9489C"/>
    <w:rsid w:val="00A94B0B"/>
    <w:rsid w:val="00A957C0"/>
    <w:rsid w:val="00A96EE5"/>
    <w:rsid w:val="00A96EE9"/>
    <w:rsid w:val="00A96F71"/>
    <w:rsid w:val="00A972F1"/>
    <w:rsid w:val="00AA006E"/>
    <w:rsid w:val="00AA0088"/>
    <w:rsid w:val="00AA0A1A"/>
    <w:rsid w:val="00AA1029"/>
    <w:rsid w:val="00AA14B5"/>
    <w:rsid w:val="00AA19DE"/>
    <w:rsid w:val="00AA1FFB"/>
    <w:rsid w:val="00AA217A"/>
    <w:rsid w:val="00AA3087"/>
    <w:rsid w:val="00AA34BA"/>
    <w:rsid w:val="00AA36B1"/>
    <w:rsid w:val="00AA41AD"/>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173"/>
    <w:rsid w:val="00AB138D"/>
    <w:rsid w:val="00AB1713"/>
    <w:rsid w:val="00AB26B7"/>
    <w:rsid w:val="00AB324A"/>
    <w:rsid w:val="00AB3C95"/>
    <w:rsid w:val="00AB3F14"/>
    <w:rsid w:val="00AB4274"/>
    <w:rsid w:val="00AB4A7B"/>
    <w:rsid w:val="00AB524C"/>
    <w:rsid w:val="00AB6559"/>
    <w:rsid w:val="00AB6689"/>
    <w:rsid w:val="00AB6DFB"/>
    <w:rsid w:val="00AB79FA"/>
    <w:rsid w:val="00AB7DCE"/>
    <w:rsid w:val="00AB7E5C"/>
    <w:rsid w:val="00AB7F56"/>
    <w:rsid w:val="00AC14FC"/>
    <w:rsid w:val="00AC1BB5"/>
    <w:rsid w:val="00AC1E28"/>
    <w:rsid w:val="00AC24BE"/>
    <w:rsid w:val="00AC265A"/>
    <w:rsid w:val="00AC3A80"/>
    <w:rsid w:val="00AC50D4"/>
    <w:rsid w:val="00AC5425"/>
    <w:rsid w:val="00AC59C6"/>
    <w:rsid w:val="00AC633D"/>
    <w:rsid w:val="00AC7030"/>
    <w:rsid w:val="00AC770A"/>
    <w:rsid w:val="00AC7F2A"/>
    <w:rsid w:val="00AD042E"/>
    <w:rsid w:val="00AD1598"/>
    <w:rsid w:val="00AD1D81"/>
    <w:rsid w:val="00AD1EC8"/>
    <w:rsid w:val="00AD1FD5"/>
    <w:rsid w:val="00AD21F8"/>
    <w:rsid w:val="00AD289A"/>
    <w:rsid w:val="00AD333A"/>
    <w:rsid w:val="00AD3B12"/>
    <w:rsid w:val="00AD46FA"/>
    <w:rsid w:val="00AD49BC"/>
    <w:rsid w:val="00AD4E8B"/>
    <w:rsid w:val="00AD50E2"/>
    <w:rsid w:val="00AD5C89"/>
    <w:rsid w:val="00AD624D"/>
    <w:rsid w:val="00AD71B7"/>
    <w:rsid w:val="00AD7320"/>
    <w:rsid w:val="00AD75C1"/>
    <w:rsid w:val="00AE07B1"/>
    <w:rsid w:val="00AE317C"/>
    <w:rsid w:val="00AE3B16"/>
    <w:rsid w:val="00AE4923"/>
    <w:rsid w:val="00AE4D86"/>
    <w:rsid w:val="00AE5448"/>
    <w:rsid w:val="00AE6B09"/>
    <w:rsid w:val="00AE7098"/>
    <w:rsid w:val="00AE75E8"/>
    <w:rsid w:val="00AF0918"/>
    <w:rsid w:val="00AF11CF"/>
    <w:rsid w:val="00AF1320"/>
    <w:rsid w:val="00AF1AC2"/>
    <w:rsid w:val="00AF1BD1"/>
    <w:rsid w:val="00AF27E5"/>
    <w:rsid w:val="00AF2959"/>
    <w:rsid w:val="00AF346F"/>
    <w:rsid w:val="00AF39A2"/>
    <w:rsid w:val="00AF3C65"/>
    <w:rsid w:val="00AF4BFC"/>
    <w:rsid w:val="00AF4D15"/>
    <w:rsid w:val="00AF5940"/>
    <w:rsid w:val="00AF5B9D"/>
    <w:rsid w:val="00AF643D"/>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5DC8"/>
    <w:rsid w:val="00B16020"/>
    <w:rsid w:val="00B16FA8"/>
    <w:rsid w:val="00B21330"/>
    <w:rsid w:val="00B21489"/>
    <w:rsid w:val="00B2181E"/>
    <w:rsid w:val="00B21E10"/>
    <w:rsid w:val="00B21FEC"/>
    <w:rsid w:val="00B2201A"/>
    <w:rsid w:val="00B22AB3"/>
    <w:rsid w:val="00B23798"/>
    <w:rsid w:val="00B23ECD"/>
    <w:rsid w:val="00B2453D"/>
    <w:rsid w:val="00B263CE"/>
    <w:rsid w:val="00B264EE"/>
    <w:rsid w:val="00B27402"/>
    <w:rsid w:val="00B275BC"/>
    <w:rsid w:val="00B31C2E"/>
    <w:rsid w:val="00B3264B"/>
    <w:rsid w:val="00B3284C"/>
    <w:rsid w:val="00B32BC4"/>
    <w:rsid w:val="00B32FDA"/>
    <w:rsid w:val="00B33D1A"/>
    <w:rsid w:val="00B342A7"/>
    <w:rsid w:val="00B34819"/>
    <w:rsid w:val="00B34E42"/>
    <w:rsid w:val="00B35220"/>
    <w:rsid w:val="00B35506"/>
    <w:rsid w:val="00B36C89"/>
    <w:rsid w:val="00B37A50"/>
    <w:rsid w:val="00B37B70"/>
    <w:rsid w:val="00B40319"/>
    <w:rsid w:val="00B40A00"/>
    <w:rsid w:val="00B41189"/>
    <w:rsid w:val="00B41940"/>
    <w:rsid w:val="00B41C4B"/>
    <w:rsid w:val="00B422CD"/>
    <w:rsid w:val="00B4283B"/>
    <w:rsid w:val="00B42B9C"/>
    <w:rsid w:val="00B4317C"/>
    <w:rsid w:val="00B43E16"/>
    <w:rsid w:val="00B441C5"/>
    <w:rsid w:val="00B44B93"/>
    <w:rsid w:val="00B45A23"/>
    <w:rsid w:val="00B45BCB"/>
    <w:rsid w:val="00B4696F"/>
    <w:rsid w:val="00B4784B"/>
    <w:rsid w:val="00B47C62"/>
    <w:rsid w:val="00B50546"/>
    <w:rsid w:val="00B50B7C"/>
    <w:rsid w:val="00B5163A"/>
    <w:rsid w:val="00B51915"/>
    <w:rsid w:val="00B51B4A"/>
    <w:rsid w:val="00B51D84"/>
    <w:rsid w:val="00B5252B"/>
    <w:rsid w:val="00B54262"/>
    <w:rsid w:val="00B55C24"/>
    <w:rsid w:val="00B55DAA"/>
    <w:rsid w:val="00B567A7"/>
    <w:rsid w:val="00B567B3"/>
    <w:rsid w:val="00B5689A"/>
    <w:rsid w:val="00B57759"/>
    <w:rsid w:val="00B577DD"/>
    <w:rsid w:val="00B600D4"/>
    <w:rsid w:val="00B60338"/>
    <w:rsid w:val="00B60401"/>
    <w:rsid w:val="00B6074C"/>
    <w:rsid w:val="00B6124F"/>
    <w:rsid w:val="00B6150A"/>
    <w:rsid w:val="00B61853"/>
    <w:rsid w:val="00B6269C"/>
    <w:rsid w:val="00B62DF0"/>
    <w:rsid w:val="00B634D7"/>
    <w:rsid w:val="00B63B27"/>
    <w:rsid w:val="00B642D2"/>
    <w:rsid w:val="00B64761"/>
    <w:rsid w:val="00B651D1"/>
    <w:rsid w:val="00B662C4"/>
    <w:rsid w:val="00B6641B"/>
    <w:rsid w:val="00B666C0"/>
    <w:rsid w:val="00B66F4B"/>
    <w:rsid w:val="00B67374"/>
    <w:rsid w:val="00B67C2D"/>
    <w:rsid w:val="00B70315"/>
    <w:rsid w:val="00B70803"/>
    <w:rsid w:val="00B7173C"/>
    <w:rsid w:val="00B71B54"/>
    <w:rsid w:val="00B72E8A"/>
    <w:rsid w:val="00B74AB4"/>
    <w:rsid w:val="00B74BE2"/>
    <w:rsid w:val="00B74C0B"/>
    <w:rsid w:val="00B7627A"/>
    <w:rsid w:val="00B7688A"/>
    <w:rsid w:val="00B76B55"/>
    <w:rsid w:val="00B76E1D"/>
    <w:rsid w:val="00B77458"/>
    <w:rsid w:val="00B81353"/>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D7E"/>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06DE"/>
    <w:rsid w:val="00BA229F"/>
    <w:rsid w:val="00BA273B"/>
    <w:rsid w:val="00BA2F30"/>
    <w:rsid w:val="00BA33D7"/>
    <w:rsid w:val="00BA38F8"/>
    <w:rsid w:val="00BA4107"/>
    <w:rsid w:val="00BA5DDE"/>
    <w:rsid w:val="00BA5EFC"/>
    <w:rsid w:val="00BA5F7E"/>
    <w:rsid w:val="00BA6521"/>
    <w:rsid w:val="00BA69E6"/>
    <w:rsid w:val="00BA6B9D"/>
    <w:rsid w:val="00BA704A"/>
    <w:rsid w:val="00BA7113"/>
    <w:rsid w:val="00BA74C9"/>
    <w:rsid w:val="00BB26E1"/>
    <w:rsid w:val="00BB279C"/>
    <w:rsid w:val="00BB2BB5"/>
    <w:rsid w:val="00BB2DA8"/>
    <w:rsid w:val="00BB3F0F"/>
    <w:rsid w:val="00BB57FD"/>
    <w:rsid w:val="00BB67BD"/>
    <w:rsid w:val="00BB7026"/>
    <w:rsid w:val="00BC0611"/>
    <w:rsid w:val="00BC0679"/>
    <w:rsid w:val="00BC0EA5"/>
    <w:rsid w:val="00BC149A"/>
    <w:rsid w:val="00BC16F3"/>
    <w:rsid w:val="00BC1D80"/>
    <w:rsid w:val="00BC3CD7"/>
    <w:rsid w:val="00BC3D98"/>
    <w:rsid w:val="00BC41CD"/>
    <w:rsid w:val="00BC42E2"/>
    <w:rsid w:val="00BC5D22"/>
    <w:rsid w:val="00BD0322"/>
    <w:rsid w:val="00BD079E"/>
    <w:rsid w:val="00BD1CE0"/>
    <w:rsid w:val="00BD31F7"/>
    <w:rsid w:val="00BD5E19"/>
    <w:rsid w:val="00BD6C71"/>
    <w:rsid w:val="00BD7B91"/>
    <w:rsid w:val="00BE0B23"/>
    <w:rsid w:val="00BE1344"/>
    <w:rsid w:val="00BE14A1"/>
    <w:rsid w:val="00BE17BD"/>
    <w:rsid w:val="00BE2DB8"/>
    <w:rsid w:val="00BE3561"/>
    <w:rsid w:val="00BE38D8"/>
    <w:rsid w:val="00BE428C"/>
    <w:rsid w:val="00BE447D"/>
    <w:rsid w:val="00BE4496"/>
    <w:rsid w:val="00BE4F9C"/>
    <w:rsid w:val="00BE5826"/>
    <w:rsid w:val="00BE5A5A"/>
    <w:rsid w:val="00BE6A3A"/>
    <w:rsid w:val="00BE6CEC"/>
    <w:rsid w:val="00BF0491"/>
    <w:rsid w:val="00BF04C7"/>
    <w:rsid w:val="00BF159A"/>
    <w:rsid w:val="00BF29CC"/>
    <w:rsid w:val="00BF3A27"/>
    <w:rsid w:val="00BF3B91"/>
    <w:rsid w:val="00BF4005"/>
    <w:rsid w:val="00BF51B2"/>
    <w:rsid w:val="00BF590A"/>
    <w:rsid w:val="00BF62FF"/>
    <w:rsid w:val="00BF6B7B"/>
    <w:rsid w:val="00BF72E2"/>
    <w:rsid w:val="00BF7ADE"/>
    <w:rsid w:val="00BF7F72"/>
    <w:rsid w:val="00C00265"/>
    <w:rsid w:val="00C00376"/>
    <w:rsid w:val="00C0111F"/>
    <w:rsid w:val="00C03909"/>
    <w:rsid w:val="00C03BFB"/>
    <w:rsid w:val="00C03CAD"/>
    <w:rsid w:val="00C04AF3"/>
    <w:rsid w:val="00C04C2F"/>
    <w:rsid w:val="00C05381"/>
    <w:rsid w:val="00C05A75"/>
    <w:rsid w:val="00C05BA1"/>
    <w:rsid w:val="00C05E03"/>
    <w:rsid w:val="00C0635F"/>
    <w:rsid w:val="00C06623"/>
    <w:rsid w:val="00C12100"/>
    <w:rsid w:val="00C1237E"/>
    <w:rsid w:val="00C12B84"/>
    <w:rsid w:val="00C133E5"/>
    <w:rsid w:val="00C13579"/>
    <w:rsid w:val="00C137AE"/>
    <w:rsid w:val="00C13FBB"/>
    <w:rsid w:val="00C14469"/>
    <w:rsid w:val="00C15F95"/>
    <w:rsid w:val="00C161B0"/>
    <w:rsid w:val="00C1644A"/>
    <w:rsid w:val="00C16597"/>
    <w:rsid w:val="00C16DD8"/>
    <w:rsid w:val="00C17465"/>
    <w:rsid w:val="00C175DE"/>
    <w:rsid w:val="00C17985"/>
    <w:rsid w:val="00C17EDD"/>
    <w:rsid w:val="00C17FB2"/>
    <w:rsid w:val="00C200DB"/>
    <w:rsid w:val="00C2040F"/>
    <w:rsid w:val="00C209E3"/>
    <w:rsid w:val="00C212B2"/>
    <w:rsid w:val="00C215CA"/>
    <w:rsid w:val="00C21947"/>
    <w:rsid w:val="00C21BF7"/>
    <w:rsid w:val="00C237FE"/>
    <w:rsid w:val="00C2443D"/>
    <w:rsid w:val="00C24C2C"/>
    <w:rsid w:val="00C25379"/>
    <w:rsid w:val="00C25D22"/>
    <w:rsid w:val="00C25EA9"/>
    <w:rsid w:val="00C30FE5"/>
    <w:rsid w:val="00C315F1"/>
    <w:rsid w:val="00C31882"/>
    <w:rsid w:val="00C31A58"/>
    <w:rsid w:val="00C31E84"/>
    <w:rsid w:val="00C32E66"/>
    <w:rsid w:val="00C33659"/>
    <w:rsid w:val="00C33DF0"/>
    <w:rsid w:val="00C345A4"/>
    <w:rsid w:val="00C35539"/>
    <w:rsid w:val="00C35CD2"/>
    <w:rsid w:val="00C3650E"/>
    <w:rsid w:val="00C3658C"/>
    <w:rsid w:val="00C3663E"/>
    <w:rsid w:val="00C37EC5"/>
    <w:rsid w:val="00C428F5"/>
    <w:rsid w:val="00C43869"/>
    <w:rsid w:val="00C44205"/>
    <w:rsid w:val="00C4449F"/>
    <w:rsid w:val="00C444BC"/>
    <w:rsid w:val="00C44577"/>
    <w:rsid w:val="00C45BA9"/>
    <w:rsid w:val="00C4620D"/>
    <w:rsid w:val="00C46214"/>
    <w:rsid w:val="00C4637B"/>
    <w:rsid w:val="00C46D77"/>
    <w:rsid w:val="00C46F5D"/>
    <w:rsid w:val="00C4739A"/>
    <w:rsid w:val="00C47AF8"/>
    <w:rsid w:val="00C47D17"/>
    <w:rsid w:val="00C47F72"/>
    <w:rsid w:val="00C50093"/>
    <w:rsid w:val="00C5086D"/>
    <w:rsid w:val="00C51665"/>
    <w:rsid w:val="00C518D2"/>
    <w:rsid w:val="00C51C45"/>
    <w:rsid w:val="00C51CED"/>
    <w:rsid w:val="00C522BD"/>
    <w:rsid w:val="00C52589"/>
    <w:rsid w:val="00C5282C"/>
    <w:rsid w:val="00C53BB8"/>
    <w:rsid w:val="00C5598C"/>
    <w:rsid w:val="00C563BA"/>
    <w:rsid w:val="00C57237"/>
    <w:rsid w:val="00C573AD"/>
    <w:rsid w:val="00C57ADA"/>
    <w:rsid w:val="00C60F52"/>
    <w:rsid w:val="00C61B5F"/>
    <w:rsid w:val="00C61CA2"/>
    <w:rsid w:val="00C62C8D"/>
    <w:rsid w:val="00C63853"/>
    <w:rsid w:val="00C63A11"/>
    <w:rsid w:val="00C63BB7"/>
    <w:rsid w:val="00C65809"/>
    <w:rsid w:val="00C65EEA"/>
    <w:rsid w:val="00C65FCA"/>
    <w:rsid w:val="00C660F3"/>
    <w:rsid w:val="00C66CEF"/>
    <w:rsid w:val="00C66F02"/>
    <w:rsid w:val="00C66FEF"/>
    <w:rsid w:val="00C67244"/>
    <w:rsid w:val="00C6737E"/>
    <w:rsid w:val="00C675FA"/>
    <w:rsid w:val="00C6799D"/>
    <w:rsid w:val="00C70052"/>
    <w:rsid w:val="00C711CA"/>
    <w:rsid w:val="00C71C43"/>
    <w:rsid w:val="00C71CB6"/>
    <w:rsid w:val="00C71D3C"/>
    <w:rsid w:val="00C71DCB"/>
    <w:rsid w:val="00C722DD"/>
    <w:rsid w:val="00C72322"/>
    <w:rsid w:val="00C72365"/>
    <w:rsid w:val="00C72D36"/>
    <w:rsid w:val="00C737C4"/>
    <w:rsid w:val="00C747EB"/>
    <w:rsid w:val="00C74E20"/>
    <w:rsid w:val="00C7599F"/>
    <w:rsid w:val="00C7613B"/>
    <w:rsid w:val="00C763A7"/>
    <w:rsid w:val="00C76671"/>
    <w:rsid w:val="00C76C36"/>
    <w:rsid w:val="00C80FEA"/>
    <w:rsid w:val="00C8150C"/>
    <w:rsid w:val="00C816FC"/>
    <w:rsid w:val="00C81DDD"/>
    <w:rsid w:val="00C81EDE"/>
    <w:rsid w:val="00C82794"/>
    <w:rsid w:val="00C82C34"/>
    <w:rsid w:val="00C830C3"/>
    <w:rsid w:val="00C83A45"/>
    <w:rsid w:val="00C845CD"/>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7F84"/>
    <w:rsid w:val="00CA0F61"/>
    <w:rsid w:val="00CA1228"/>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A18"/>
    <w:rsid w:val="00CC5FF5"/>
    <w:rsid w:val="00CC6354"/>
    <w:rsid w:val="00CD0518"/>
    <w:rsid w:val="00CD0D7B"/>
    <w:rsid w:val="00CD0FC0"/>
    <w:rsid w:val="00CD1077"/>
    <w:rsid w:val="00CD1B89"/>
    <w:rsid w:val="00CD27AE"/>
    <w:rsid w:val="00CD27C6"/>
    <w:rsid w:val="00CD2F0A"/>
    <w:rsid w:val="00CD315D"/>
    <w:rsid w:val="00CD3331"/>
    <w:rsid w:val="00CD397E"/>
    <w:rsid w:val="00CD3FEB"/>
    <w:rsid w:val="00CD4603"/>
    <w:rsid w:val="00CD4CCF"/>
    <w:rsid w:val="00CD516B"/>
    <w:rsid w:val="00CD5909"/>
    <w:rsid w:val="00CD597E"/>
    <w:rsid w:val="00CD5CBA"/>
    <w:rsid w:val="00CD6466"/>
    <w:rsid w:val="00CD69CB"/>
    <w:rsid w:val="00CD6E4E"/>
    <w:rsid w:val="00CD77C9"/>
    <w:rsid w:val="00CE008E"/>
    <w:rsid w:val="00CE091F"/>
    <w:rsid w:val="00CE10B4"/>
    <w:rsid w:val="00CE13DB"/>
    <w:rsid w:val="00CE211F"/>
    <w:rsid w:val="00CE2137"/>
    <w:rsid w:val="00CE2389"/>
    <w:rsid w:val="00CE25FE"/>
    <w:rsid w:val="00CE267B"/>
    <w:rsid w:val="00CE288C"/>
    <w:rsid w:val="00CE2893"/>
    <w:rsid w:val="00CE2CFC"/>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EFB"/>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11C3"/>
    <w:rsid w:val="00D12368"/>
    <w:rsid w:val="00D123D9"/>
    <w:rsid w:val="00D12EA5"/>
    <w:rsid w:val="00D134FE"/>
    <w:rsid w:val="00D1357C"/>
    <w:rsid w:val="00D13762"/>
    <w:rsid w:val="00D13C03"/>
    <w:rsid w:val="00D13FCA"/>
    <w:rsid w:val="00D14697"/>
    <w:rsid w:val="00D14E23"/>
    <w:rsid w:val="00D15342"/>
    <w:rsid w:val="00D166EC"/>
    <w:rsid w:val="00D16778"/>
    <w:rsid w:val="00D16871"/>
    <w:rsid w:val="00D16E4D"/>
    <w:rsid w:val="00D17244"/>
    <w:rsid w:val="00D173E7"/>
    <w:rsid w:val="00D2044B"/>
    <w:rsid w:val="00D20599"/>
    <w:rsid w:val="00D2079F"/>
    <w:rsid w:val="00D20E4D"/>
    <w:rsid w:val="00D21152"/>
    <w:rsid w:val="00D252BB"/>
    <w:rsid w:val="00D27191"/>
    <w:rsid w:val="00D27985"/>
    <w:rsid w:val="00D30960"/>
    <w:rsid w:val="00D30EDC"/>
    <w:rsid w:val="00D31C09"/>
    <w:rsid w:val="00D3230A"/>
    <w:rsid w:val="00D33033"/>
    <w:rsid w:val="00D34BAF"/>
    <w:rsid w:val="00D35701"/>
    <w:rsid w:val="00D35CCF"/>
    <w:rsid w:val="00D35D0B"/>
    <w:rsid w:val="00D36E56"/>
    <w:rsid w:val="00D36EC8"/>
    <w:rsid w:val="00D36FFC"/>
    <w:rsid w:val="00D3769B"/>
    <w:rsid w:val="00D376F2"/>
    <w:rsid w:val="00D379CA"/>
    <w:rsid w:val="00D40010"/>
    <w:rsid w:val="00D426E0"/>
    <w:rsid w:val="00D42D71"/>
    <w:rsid w:val="00D439E2"/>
    <w:rsid w:val="00D43B40"/>
    <w:rsid w:val="00D43E0F"/>
    <w:rsid w:val="00D4454D"/>
    <w:rsid w:val="00D4481B"/>
    <w:rsid w:val="00D45F34"/>
    <w:rsid w:val="00D47A3E"/>
    <w:rsid w:val="00D50424"/>
    <w:rsid w:val="00D50F33"/>
    <w:rsid w:val="00D51429"/>
    <w:rsid w:val="00D51A6D"/>
    <w:rsid w:val="00D51BED"/>
    <w:rsid w:val="00D5249F"/>
    <w:rsid w:val="00D54204"/>
    <w:rsid w:val="00D54AE5"/>
    <w:rsid w:val="00D54E52"/>
    <w:rsid w:val="00D55117"/>
    <w:rsid w:val="00D55425"/>
    <w:rsid w:val="00D558AB"/>
    <w:rsid w:val="00D56838"/>
    <w:rsid w:val="00D575D7"/>
    <w:rsid w:val="00D605FC"/>
    <w:rsid w:val="00D60EEA"/>
    <w:rsid w:val="00D620D0"/>
    <w:rsid w:val="00D62C12"/>
    <w:rsid w:val="00D6322C"/>
    <w:rsid w:val="00D635C1"/>
    <w:rsid w:val="00D6382C"/>
    <w:rsid w:val="00D6521C"/>
    <w:rsid w:val="00D65A24"/>
    <w:rsid w:val="00D66230"/>
    <w:rsid w:val="00D6627E"/>
    <w:rsid w:val="00D6669C"/>
    <w:rsid w:val="00D67D2B"/>
    <w:rsid w:val="00D705F6"/>
    <w:rsid w:val="00D707EA"/>
    <w:rsid w:val="00D711F8"/>
    <w:rsid w:val="00D717F0"/>
    <w:rsid w:val="00D71CBD"/>
    <w:rsid w:val="00D72100"/>
    <w:rsid w:val="00D72607"/>
    <w:rsid w:val="00D73245"/>
    <w:rsid w:val="00D74F64"/>
    <w:rsid w:val="00D76B9C"/>
    <w:rsid w:val="00D76EC1"/>
    <w:rsid w:val="00D80722"/>
    <w:rsid w:val="00D80BCF"/>
    <w:rsid w:val="00D81461"/>
    <w:rsid w:val="00D81A2E"/>
    <w:rsid w:val="00D81F4D"/>
    <w:rsid w:val="00D82336"/>
    <w:rsid w:val="00D82387"/>
    <w:rsid w:val="00D824DC"/>
    <w:rsid w:val="00D82FCB"/>
    <w:rsid w:val="00D836C0"/>
    <w:rsid w:val="00D83B2D"/>
    <w:rsid w:val="00D841E1"/>
    <w:rsid w:val="00D85297"/>
    <w:rsid w:val="00D857ED"/>
    <w:rsid w:val="00D859E4"/>
    <w:rsid w:val="00D85DA2"/>
    <w:rsid w:val="00D86032"/>
    <w:rsid w:val="00D8680B"/>
    <w:rsid w:val="00D8693D"/>
    <w:rsid w:val="00D87193"/>
    <w:rsid w:val="00D87295"/>
    <w:rsid w:val="00D876FD"/>
    <w:rsid w:val="00D87EDD"/>
    <w:rsid w:val="00D9015E"/>
    <w:rsid w:val="00D90590"/>
    <w:rsid w:val="00D913EC"/>
    <w:rsid w:val="00D92ADA"/>
    <w:rsid w:val="00D92BBA"/>
    <w:rsid w:val="00D92F0F"/>
    <w:rsid w:val="00D9309D"/>
    <w:rsid w:val="00D931FD"/>
    <w:rsid w:val="00D93492"/>
    <w:rsid w:val="00D934B6"/>
    <w:rsid w:val="00D93AFC"/>
    <w:rsid w:val="00D940EB"/>
    <w:rsid w:val="00D946FA"/>
    <w:rsid w:val="00D949EF"/>
    <w:rsid w:val="00D968DF"/>
    <w:rsid w:val="00D96F95"/>
    <w:rsid w:val="00D9764E"/>
    <w:rsid w:val="00DA0371"/>
    <w:rsid w:val="00DA1019"/>
    <w:rsid w:val="00DA1083"/>
    <w:rsid w:val="00DA11E3"/>
    <w:rsid w:val="00DA1612"/>
    <w:rsid w:val="00DA1DD6"/>
    <w:rsid w:val="00DA2427"/>
    <w:rsid w:val="00DA3868"/>
    <w:rsid w:val="00DA4833"/>
    <w:rsid w:val="00DA4CBD"/>
    <w:rsid w:val="00DA51FC"/>
    <w:rsid w:val="00DA540D"/>
    <w:rsid w:val="00DA673B"/>
    <w:rsid w:val="00DA6EF6"/>
    <w:rsid w:val="00DA7728"/>
    <w:rsid w:val="00DA79C9"/>
    <w:rsid w:val="00DA7B66"/>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04A"/>
    <w:rsid w:val="00DC59AB"/>
    <w:rsid w:val="00DC617D"/>
    <w:rsid w:val="00DC6C3C"/>
    <w:rsid w:val="00DC6DE0"/>
    <w:rsid w:val="00DC7DC9"/>
    <w:rsid w:val="00DD0C43"/>
    <w:rsid w:val="00DD173C"/>
    <w:rsid w:val="00DD2924"/>
    <w:rsid w:val="00DD2A6C"/>
    <w:rsid w:val="00DD2D1B"/>
    <w:rsid w:val="00DD36D4"/>
    <w:rsid w:val="00DD394E"/>
    <w:rsid w:val="00DD3AEC"/>
    <w:rsid w:val="00DD4559"/>
    <w:rsid w:val="00DD47FF"/>
    <w:rsid w:val="00DD5F15"/>
    <w:rsid w:val="00DD6029"/>
    <w:rsid w:val="00DD7E82"/>
    <w:rsid w:val="00DE0E4E"/>
    <w:rsid w:val="00DE1195"/>
    <w:rsid w:val="00DE1A70"/>
    <w:rsid w:val="00DE22C3"/>
    <w:rsid w:val="00DE28AF"/>
    <w:rsid w:val="00DE2DC0"/>
    <w:rsid w:val="00DE3172"/>
    <w:rsid w:val="00DE3289"/>
    <w:rsid w:val="00DE36B3"/>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0F95"/>
    <w:rsid w:val="00DF27BC"/>
    <w:rsid w:val="00DF39AB"/>
    <w:rsid w:val="00DF3F24"/>
    <w:rsid w:val="00DF4122"/>
    <w:rsid w:val="00DF4961"/>
    <w:rsid w:val="00DF5ABD"/>
    <w:rsid w:val="00DF71EC"/>
    <w:rsid w:val="00DF7556"/>
    <w:rsid w:val="00E000B7"/>
    <w:rsid w:val="00E00497"/>
    <w:rsid w:val="00E0061D"/>
    <w:rsid w:val="00E0107D"/>
    <w:rsid w:val="00E01114"/>
    <w:rsid w:val="00E0161A"/>
    <w:rsid w:val="00E019A8"/>
    <w:rsid w:val="00E01B0F"/>
    <w:rsid w:val="00E0214F"/>
    <w:rsid w:val="00E02D86"/>
    <w:rsid w:val="00E03320"/>
    <w:rsid w:val="00E0379C"/>
    <w:rsid w:val="00E03AF8"/>
    <w:rsid w:val="00E03E0B"/>
    <w:rsid w:val="00E04998"/>
    <w:rsid w:val="00E059BD"/>
    <w:rsid w:val="00E05D17"/>
    <w:rsid w:val="00E061EC"/>
    <w:rsid w:val="00E07AEB"/>
    <w:rsid w:val="00E07EA7"/>
    <w:rsid w:val="00E07F77"/>
    <w:rsid w:val="00E10A38"/>
    <w:rsid w:val="00E10A8C"/>
    <w:rsid w:val="00E117F8"/>
    <w:rsid w:val="00E11AB1"/>
    <w:rsid w:val="00E125A6"/>
    <w:rsid w:val="00E12B6C"/>
    <w:rsid w:val="00E12D26"/>
    <w:rsid w:val="00E12DEB"/>
    <w:rsid w:val="00E131EB"/>
    <w:rsid w:val="00E13F02"/>
    <w:rsid w:val="00E14726"/>
    <w:rsid w:val="00E1594C"/>
    <w:rsid w:val="00E15989"/>
    <w:rsid w:val="00E17802"/>
    <w:rsid w:val="00E17E27"/>
    <w:rsid w:val="00E21231"/>
    <w:rsid w:val="00E21AFC"/>
    <w:rsid w:val="00E22649"/>
    <w:rsid w:val="00E2271D"/>
    <w:rsid w:val="00E2303B"/>
    <w:rsid w:val="00E2397B"/>
    <w:rsid w:val="00E23CF9"/>
    <w:rsid w:val="00E23F26"/>
    <w:rsid w:val="00E246BD"/>
    <w:rsid w:val="00E26976"/>
    <w:rsid w:val="00E26C5D"/>
    <w:rsid w:val="00E3031F"/>
    <w:rsid w:val="00E3175D"/>
    <w:rsid w:val="00E3178B"/>
    <w:rsid w:val="00E3243E"/>
    <w:rsid w:val="00E325E5"/>
    <w:rsid w:val="00E327A3"/>
    <w:rsid w:val="00E35A98"/>
    <w:rsid w:val="00E3649F"/>
    <w:rsid w:val="00E37168"/>
    <w:rsid w:val="00E373A8"/>
    <w:rsid w:val="00E40964"/>
    <w:rsid w:val="00E40A98"/>
    <w:rsid w:val="00E40DC3"/>
    <w:rsid w:val="00E414A7"/>
    <w:rsid w:val="00E41E68"/>
    <w:rsid w:val="00E42E19"/>
    <w:rsid w:val="00E43010"/>
    <w:rsid w:val="00E4311B"/>
    <w:rsid w:val="00E43B6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25F"/>
    <w:rsid w:val="00E54459"/>
    <w:rsid w:val="00E55333"/>
    <w:rsid w:val="00E553C1"/>
    <w:rsid w:val="00E5549E"/>
    <w:rsid w:val="00E56BDD"/>
    <w:rsid w:val="00E56D10"/>
    <w:rsid w:val="00E5710A"/>
    <w:rsid w:val="00E57E10"/>
    <w:rsid w:val="00E57F2E"/>
    <w:rsid w:val="00E60C39"/>
    <w:rsid w:val="00E60C76"/>
    <w:rsid w:val="00E61AD5"/>
    <w:rsid w:val="00E62B62"/>
    <w:rsid w:val="00E62EA2"/>
    <w:rsid w:val="00E63DFB"/>
    <w:rsid w:val="00E64064"/>
    <w:rsid w:val="00E65CE4"/>
    <w:rsid w:val="00E66E97"/>
    <w:rsid w:val="00E672C6"/>
    <w:rsid w:val="00E67B0B"/>
    <w:rsid w:val="00E70920"/>
    <w:rsid w:val="00E723EB"/>
    <w:rsid w:val="00E725AD"/>
    <w:rsid w:val="00E72722"/>
    <w:rsid w:val="00E74544"/>
    <w:rsid w:val="00E7505B"/>
    <w:rsid w:val="00E75572"/>
    <w:rsid w:val="00E7740B"/>
    <w:rsid w:val="00E77E49"/>
    <w:rsid w:val="00E800BE"/>
    <w:rsid w:val="00E804E7"/>
    <w:rsid w:val="00E80B4F"/>
    <w:rsid w:val="00E80CC9"/>
    <w:rsid w:val="00E81F6E"/>
    <w:rsid w:val="00E81FD1"/>
    <w:rsid w:val="00E821E3"/>
    <w:rsid w:val="00E83BD7"/>
    <w:rsid w:val="00E84611"/>
    <w:rsid w:val="00E857A4"/>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B4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665A"/>
    <w:rsid w:val="00EB74BB"/>
    <w:rsid w:val="00EB76F6"/>
    <w:rsid w:val="00EC074F"/>
    <w:rsid w:val="00EC138B"/>
    <w:rsid w:val="00EC19F7"/>
    <w:rsid w:val="00EC1E82"/>
    <w:rsid w:val="00EC1F4C"/>
    <w:rsid w:val="00EC2DA3"/>
    <w:rsid w:val="00EC306A"/>
    <w:rsid w:val="00EC3CDD"/>
    <w:rsid w:val="00EC3FFF"/>
    <w:rsid w:val="00EC5A94"/>
    <w:rsid w:val="00EC5FBC"/>
    <w:rsid w:val="00EC6343"/>
    <w:rsid w:val="00EC6B67"/>
    <w:rsid w:val="00EC7FCE"/>
    <w:rsid w:val="00ED0F0E"/>
    <w:rsid w:val="00ED14BB"/>
    <w:rsid w:val="00ED1F92"/>
    <w:rsid w:val="00ED2AC7"/>
    <w:rsid w:val="00ED2CD3"/>
    <w:rsid w:val="00ED2D41"/>
    <w:rsid w:val="00ED34E4"/>
    <w:rsid w:val="00ED38E0"/>
    <w:rsid w:val="00ED430A"/>
    <w:rsid w:val="00ED49E5"/>
    <w:rsid w:val="00ED647E"/>
    <w:rsid w:val="00ED6773"/>
    <w:rsid w:val="00ED6E41"/>
    <w:rsid w:val="00ED74B2"/>
    <w:rsid w:val="00ED7FE7"/>
    <w:rsid w:val="00EE00F9"/>
    <w:rsid w:val="00EE06C9"/>
    <w:rsid w:val="00EE1071"/>
    <w:rsid w:val="00EE1130"/>
    <w:rsid w:val="00EE12B3"/>
    <w:rsid w:val="00EE1D44"/>
    <w:rsid w:val="00EE1EB6"/>
    <w:rsid w:val="00EE2A7C"/>
    <w:rsid w:val="00EE2C9E"/>
    <w:rsid w:val="00EE2F93"/>
    <w:rsid w:val="00EE3055"/>
    <w:rsid w:val="00EE3A97"/>
    <w:rsid w:val="00EE480C"/>
    <w:rsid w:val="00EE4901"/>
    <w:rsid w:val="00EE4928"/>
    <w:rsid w:val="00EE497F"/>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E76"/>
    <w:rsid w:val="00EF503E"/>
    <w:rsid w:val="00EF5328"/>
    <w:rsid w:val="00EF6A03"/>
    <w:rsid w:val="00EF6E85"/>
    <w:rsid w:val="00EF776F"/>
    <w:rsid w:val="00F0043E"/>
    <w:rsid w:val="00F00815"/>
    <w:rsid w:val="00F01872"/>
    <w:rsid w:val="00F01C27"/>
    <w:rsid w:val="00F02B94"/>
    <w:rsid w:val="00F03400"/>
    <w:rsid w:val="00F03538"/>
    <w:rsid w:val="00F03975"/>
    <w:rsid w:val="00F03C29"/>
    <w:rsid w:val="00F04052"/>
    <w:rsid w:val="00F04119"/>
    <w:rsid w:val="00F042A9"/>
    <w:rsid w:val="00F04D23"/>
    <w:rsid w:val="00F0638B"/>
    <w:rsid w:val="00F063C9"/>
    <w:rsid w:val="00F06FB7"/>
    <w:rsid w:val="00F10200"/>
    <w:rsid w:val="00F1023B"/>
    <w:rsid w:val="00F109EB"/>
    <w:rsid w:val="00F10CE8"/>
    <w:rsid w:val="00F11510"/>
    <w:rsid w:val="00F123D6"/>
    <w:rsid w:val="00F12D44"/>
    <w:rsid w:val="00F139D9"/>
    <w:rsid w:val="00F13B7B"/>
    <w:rsid w:val="00F13FC8"/>
    <w:rsid w:val="00F155C6"/>
    <w:rsid w:val="00F15871"/>
    <w:rsid w:val="00F17184"/>
    <w:rsid w:val="00F174A2"/>
    <w:rsid w:val="00F202DE"/>
    <w:rsid w:val="00F20D72"/>
    <w:rsid w:val="00F210B2"/>
    <w:rsid w:val="00F211E7"/>
    <w:rsid w:val="00F226C7"/>
    <w:rsid w:val="00F23874"/>
    <w:rsid w:val="00F23F12"/>
    <w:rsid w:val="00F2468C"/>
    <w:rsid w:val="00F25221"/>
    <w:rsid w:val="00F26119"/>
    <w:rsid w:val="00F26361"/>
    <w:rsid w:val="00F26FFB"/>
    <w:rsid w:val="00F2706B"/>
    <w:rsid w:val="00F27DF2"/>
    <w:rsid w:val="00F300E3"/>
    <w:rsid w:val="00F319D7"/>
    <w:rsid w:val="00F31CAD"/>
    <w:rsid w:val="00F31E28"/>
    <w:rsid w:val="00F328F0"/>
    <w:rsid w:val="00F32E01"/>
    <w:rsid w:val="00F33410"/>
    <w:rsid w:val="00F336F6"/>
    <w:rsid w:val="00F33BD1"/>
    <w:rsid w:val="00F33F99"/>
    <w:rsid w:val="00F35AEE"/>
    <w:rsid w:val="00F35D99"/>
    <w:rsid w:val="00F36E1C"/>
    <w:rsid w:val="00F40733"/>
    <w:rsid w:val="00F42525"/>
    <w:rsid w:val="00F42644"/>
    <w:rsid w:val="00F43EC6"/>
    <w:rsid w:val="00F445AC"/>
    <w:rsid w:val="00F44C05"/>
    <w:rsid w:val="00F45AEC"/>
    <w:rsid w:val="00F45B62"/>
    <w:rsid w:val="00F45CE0"/>
    <w:rsid w:val="00F45D3D"/>
    <w:rsid w:val="00F46A6C"/>
    <w:rsid w:val="00F46EBC"/>
    <w:rsid w:val="00F474B1"/>
    <w:rsid w:val="00F500C7"/>
    <w:rsid w:val="00F5115C"/>
    <w:rsid w:val="00F517F7"/>
    <w:rsid w:val="00F51AFB"/>
    <w:rsid w:val="00F530F4"/>
    <w:rsid w:val="00F548DF"/>
    <w:rsid w:val="00F54C25"/>
    <w:rsid w:val="00F551A7"/>
    <w:rsid w:val="00F556ED"/>
    <w:rsid w:val="00F56030"/>
    <w:rsid w:val="00F5638A"/>
    <w:rsid w:val="00F566EC"/>
    <w:rsid w:val="00F56932"/>
    <w:rsid w:val="00F57092"/>
    <w:rsid w:val="00F576C2"/>
    <w:rsid w:val="00F57E6F"/>
    <w:rsid w:val="00F600D7"/>
    <w:rsid w:val="00F622DF"/>
    <w:rsid w:val="00F62479"/>
    <w:rsid w:val="00F63564"/>
    <w:rsid w:val="00F646A1"/>
    <w:rsid w:val="00F6478E"/>
    <w:rsid w:val="00F64A7D"/>
    <w:rsid w:val="00F66184"/>
    <w:rsid w:val="00F663B2"/>
    <w:rsid w:val="00F667EE"/>
    <w:rsid w:val="00F66B62"/>
    <w:rsid w:val="00F70F7B"/>
    <w:rsid w:val="00F71127"/>
    <w:rsid w:val="00F71541"/>
    <w:rsid w:val="00F72854"/>
    <w:rsid w:val="00F72EBA"/>
    <w:rsid w:val="00F72FE4"/>
    <w:rsid w:val="00F73169"/>
    <w:rsid w:val="00F73BC5"/>
    <w:rsid w:val="00F7413C"/>
    <w:rsid w:val="00F7440A"/>
    <w:rsid w:val="00F75075"/>
    <w:rsid w:val="00F75CEF"/>
    <w:rsid w:val="00F76038"/>
    <w:rsid w:val="00F76CCA"/>
    <w:rsid w:val="00F77147"/>
    <w:rsid w:val="00F77405"/>
    <w:rsid w:val="00F7769D"/>
    <w:rsid w:val="00F77952"/>
    <w:rsid w:val="00F77B57"/>
    <w:rsid w:val="00F8025B"/>
    <w:rsid w:val="00F807AA"/>
    <w:rsid w:val="00F8201D"/>
    <w:rsid w:val="00F844BB"/>
    <w:rsid w:val="00F8481E"/>
    <w:rsid w:val="00F84E8E"/>
    <w:rsid w:val="00F85E2C"/>
    <w:rsid w:val="00F85E58"/>
    <w:rsid w:val="00F85F21"/>
    <w:rsid w:val="00F8619F"/>
    <w:rsid w:val="00F8659A"/>
    <w:rsid w:val="00F8763C"/>
    <w:rsid w:val="00F8799A"/>
    <w:rsid w:val="00F9031A"/>
    <w:rsid w:val="00F906B1"/>
    <w:rsid w:val="00F91FBF"/>
    <w:rsid w:val="00F92357"/>
    <w:rsid w:val="00F92753"/>
    <w:rsid w:val="00F933F7"/>
    <w:rsid w:val="00F93475"/>
    <w:rsid w:val="00F93E7A"/>
    <w:rsid w:val="00F93F38"/>
    <w:rsid w:val="00F940A7"/>
    <w:rsid w:val="00F94E45"/>
    <w:rsid w:val="00F9576B"/>
    <w:rsid w:val="00F95A29"/>
    <w:rsid w:val="00F96487"/>
    <w:rsid w:val="00F96BC0"/>
    <w:rsid w:val="00F96E19"/>
    <w:rsid w:val="00F96F02"/>
    <w:rsid w:val="00F97C9B"/>
    <w:rsid w:val="00FA010E"/>
    <w:rsid w:val="00FA0211"/>
    <w:rsid w:val="00FA0841"/>
    <w:rsid w:val="00FA0B46"/>
    <w:rsid w:val="00FA18BE"/>
    <w:rsid w:val="00FA25EC"/>
    <w:rsid w:val="00FA2FC6"/>
    <w:rsid w:val="00FA3D25"/>
    <w:rsid w:val="00FA42E4"/>
    <w:rsid w:val="00FA55E0"/>
    <w:rsid w:val="00FA566C"/>
    <w:rsid w:val="00FA6740"/>
    <w:rsid w:val="00FA690A"/>
    <w:rsid w:val="00FA6DE1"/>
    <w:rsid w:val="00FB0047"/>
    <w:rsid w:val="00FB0FE5"/>
    <w:rsid w:val="00FB1147"/>
    <w:rsid w:val="00FB1E78"/>
    <w:rsid w:val="00FB3206"/>
    <w:rsid w:val="00FB3233"/>
    <w:rsid w:val="00FB44A8"/>
    <w:rsid w:val="00FB48BB"/>
    <w:rsid w:val="00FB4AC7"/>
    <w:rsid w:val="00FB4B16"/>
    <w:rsid w:val="00FB5DE3"/>
    <w:rsid w:val="00FC13D0"/>
    <w:rsid w:val="00FC22FF"/>
    <w:rsid w:val="00FC2D46"/>
    <w:rsid w:val="00FC2D6C"/>
    <w:rsid w:val="00FC5023"/>
    <w:rsid w:val="00FC71BA"/>
    <w:rsid w:val="00FC73DC"/>
    <w:rsid w:val="00FD04A1"/>
    <w:rsid w:val="00FD1022"/>
    <w:rsid w:val="00FD1DC2"/>
    <w:rsid w:val="00FD2272"/>
    <w:rsid w:val="00FD24D1"/>
    <w:rsid w:val="00FD2708"/>
    <w:rsid w:val="00FD2982"/>
    <w:rsid w:val="00FD54B9"/>
    <w:rsid w:val="00FD56AD"/>
    <w:rsid w:val="00FD6384"/>
    <w:rsid w:val="00FD63CC"/>
    <w:rsid w:val="00FD7020"/>
    <w:rsid w:val="00FD7712"/>
    <w:rsid w:val="00FE0DB0"/>
    <w:rsid w:val="00FE149D"/>
    <w:rsid w:val="00FE178E"/>
    <w:rsid w:val="00FE1792"/>
    <w:rsid w:val="00FE1BE6"/>
    <w:rsid w:val="00FE1BF4"/>
    <w:rsid w:val="00FE250B"/>
    <w:rsid w:val="00FE2D10"/>
    <w:rsid w:val="00FE2EAA"/>
    <w:rsid w:val="00FE30D7"/>
    <w:rsid w:val="00FE32A7"/>
    <w:rsid w:val="00FE3C80"/>
    <w:rsid w:val="00FE42EA"/>
    <w:rsid w:val="00FE4550"/>
    <w:rsid w:val="00FE53D3"/>
    <w:rsid w:val="00FE5D96"/>
    <w:rsid w:val="00FE68D0"/>
    <w:rsid w:val="00FE6EC0"/>
    <w:rsid w:val="00FE7A02"/>
    <w:rsid w:val="00FF1243"/>
    <w:rsid w:val="00FF20F1"/>
    <w:rsid w:val="00FF3093"/>
    <w:rsid w:val="00FF34EF"/>
    <w:rsid w:val="00FF365A"/>
    <w:rsid w:val="00FF435A"/>
    <w:rsid w:val="00FF441D"/>
    <w:rsid w:val="00FF5D6D"/>
    <w:rsid w:val="00FF5E2D"/>
    <w:rsid w:val="00FF6644"/>
    <w:rsid w:val="00FF6E87"/>
    <w:rsid w:val="140BB06E"/>
    <w:rsid w:val="3FF987F7"/>
    <w:rsid w:val="5CD3C3CB"/>
    <w:rsid w:val="67EEE1F9"/>
    <w:rsid w:val="6FFFA9A9"/>
    <w:rsid w:val="78FD5672"/>
    <w:rsid w:val="791D343F"/>
    <w:rsid w:val="7DFEA42E"/>
    <w:rsid w:val="7EE77193"/>
    <w:rsid w:val="AEF8A5CA"/>
    <w:rsid w:val="B63F1A4F"/>
    <w:rsid w:val="B6B754ED"/>
    <w:rsid w:val="BFDF6E01"/>
    <w:rsid w:val="C5FF40F3"/>
    <w:rsid w:val="C7DFE9E1"/>
    <w:rsid w:val="CEDD84E3"/>
    <w:rsid w:val="DBB389EA"/>
    <w:rsid w:val="DF9FEF06"/>
    <w:rsid w:val="EC7FC473"/>
    <w:rsid w:val="EFD93E34"/>
    <w:rsid w:val="F777B93F"/>
    <w:rsid w:val="F86F8348"/>
    <w:rsid w:val="FBFF6CB3"/>
    <w:rsid w:val="FF7721A2"/>
    <w:rsid w:val="FFEE93E0"/>
    <w:rsid w:val="FFFB1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11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19"/>
    <w:unhideWhenUsed/>
    <w:qFormat/>
    <w:uiPriority w:val="9"/>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0"/>
    <w:pPr>
      <w:spacing w:before="100" w:beforeAutospacing="1" w:after="100" w:afterAutospacing="1"/>
      <w:ind w:left="420" w:leftChars="200"/>
    </w:pPr>
    <w:rPr>
      <w:rFonts w:ascii="Calibri" w:hAnsi="Calibri" w:cs="Calibri"/>
      <w:sz w:val="32"/>
      <w:szCs w:val="32"/>
    </w:rPr>
  </w:style>
  <w:style w:type="paragraph" w:styleId="8">
    <w:name w:val="Normal Indent"/>
    <w:basedOn w:val="1"/>
    <w:autoRedefine/>
    <w:qFormat/>
    <w:uiPriority w:val="99"/>
    <w:pPr>
      <w:ind w:firstLine="420" w:firstLineChars="200"/>
    </w:pPr>
    <w:rPr>
      <w:rFonts w:eastAsia="仿宋"/>
      <w:sz w:val="32"/>
      <w:szCs w:val="32"/>
    </w:rPr>
  </w:style>
  <w:style w:type="paragraph" w:styleId="9">
    <w:name w:val="Document Map"/>
    <w:basedOn w:val="1"/>
    <w:link w:val="98"/>
    <w:qFormat/>
    <w:uiPriority w:val="99"/>
    <w:rPr>
      <w:rFonts w:ascii="宋体"/>
      <w:sz w:val="18"/>
      <w:szCs w:val="18"/>
    </w:rPr>
  </w:style>
  <w:style w:type="paragraph" w:styleId="10">
    <w:name w:val="toa heading"/>
    <w:basedOn w:val="1"/>
    <w:next w:val="1"/>
    <w:qFormat/>
    <w:uiPriority w:val="99"/>
    <w:pPr>
      <w:spacing w:before="120"/>
    </w:pPr>
    <w:rPr>
      <w:rFonts w:ascii="Calibri Light" w:hAnsi="Calibri Light"/>
      <w:sz w:val="24"/>
    </w:rPr>
  </w:style>
  <w:style w:type="paragraph" w:styleId="11">
    <w:name w:val="annotation text"/>
    <w:basedOn w:val="1"/>
    <w:link w:val="72"/>
    <w:qFormat/>
    <w:uiPriority w:val="0"/>
    <w:pPr>
      <w:jc w:val="left"/>
    </w:pPr>
    <w:rPr>
      <w:szCs w:val="20"/>
    </w:rPr>
  </w:style>
  <w:style w:type="paragraph" w:styleId="12">
    <w:name w:val="Body Text 3"/>
    <w:basedOn w:val="1"/>
    <w:link w:val="76"/>
    <w:qFormat/>
    <w:uiPriority w:val="99"/>
    <w:pPr>
      <w:spacing w:after="120"/>
    </w:pPr>
    <w:rPr>
      <w:sz w:val="16"/>
      <w:szCs w:val="16"/>
    </w:rPr>
  </w:style>
  <w:style w:type="paragraph" w:styleId="13">
    <w:name w:val="Body Text"/>
    <w:basedOn w:val="1"/>
    <w:link w:val="130"/>
    <w:qFormat/>
    <w:uiPriority w:val="0"/>
    <w:pPr>
      <w:spacing w:after="120"/>
    </w:pPr>
  </w:style>
  <w:style w:type="paragraph" w:styleId="14">
    <w:name w:val="Body Text Indent"/>
    <w:basedOn w:val="1"/>
    <w:link w:val="106"/>
    <w:qFormat/>
    <w:uiPriority w:val="99"/>
    <w:pPr>
      <w:ind w:firstLine="435"/>
    </w:pPr>
    <w:rPr>
      <w:rFonts w:eastAsia="仿宋_GB2312"/>
      <w:sz w:val="32"/>
    </w:rPr>
  </w:style>
  <w:style w:type="paragraph" w:styleId="15">
    <w:name w:val="toc 3"/>
    <w:basedOn w:val="1"/>
    <w:next w:val="1"/>
    <w:unhideWhenUsed/>
    <w:qFormat/>
    <w:uiPriority w:val="39"/>
    <w:pPr>
      <w:ind w:left="840" w:leftChars="400"/>
    </w:pPr>
  </w:style>
  <w:style w:type="paragraph" w:styleId="16">
    <w:name w:val="Plain Text"/>
    <w:basedOn w:val="1"/>
    <w:link w:val="111"/>
    <w:qFormat/>
    <w:uiPriority w:val="99"/>
    <w:rPr>
      <w:rFonts w:ascii="宋体" w:hAnsi="Courier New"/>
    </w:rPr>
  </w:style>
  <w:style w:type="paragraph" w:styleId="17">
    <w:name w:val="Date"/>
    <w:basedOn w:val="1"/>
    <w:next w:val="1"/>
    <w:link w:val="132"/>
    <w:qFormat/>
    <w:uiPriority w:val="0"/>
    <w:pPr>
      <w:ind w:left="100" w:leftChars="2500"/>
    </w:pPr>
  </w:style>
  <w:style w:type="paragraph" w:styleId="18">
    <w:name w:val="Body Text Indent 2"/>
    <w:basedOn w:val="1"/>
    <w:link w:val="133"/>
    <w:qFormat/>
    <w:uiPriority w:val="99"/>
    <w:pPr>
      <w:spacing w:after="120" w:line="480" w:lineRule="auto"/>
      <w:ind w:left="420" w:leftChars="200"/>
    </w:pPr>
  </w:style>
  <w:style w:type="paragraph" w:styleId="19">
    <w:name w:val="Balloon Text"/>
    <w:basedOn w:val="1"/>
    <w:link w:val="134"/>
    <w:qFormat/>
    <w:uiPriority w:val="0"/>
    <w:rPr>
      <w:sz w:val="18"/>
      <w:szCs w:val="18"/>
    </w:rPr>
  </w:style>
  <w:style w:type="paragraph" w:styleId="20">
    <w:name w:val="footer"/>
    <w:basedOn w:val="1"/>
    <w:link w:val="54"/>
    <w:qFormat/>
    <w:uiPriority w:val="99"/>
    <w:pPr>
      <w:tabs>
        <w:tab w:val="center" w:pos="4153"/>
        <w:tab w:val="right" w:pos="8306"/>
      </w:tabs>
      <w:snapToGrid w:val="0"/>
      <w:jc w:val="left"/>
    </w:pPr>
    <w:rPr>
      <w:sz w:val="18"/>
    </w:rPr>
  </w:style>
  <w:style w:type="paragraph" w:styleId="21">
    <w:name w:val="header"/>
    <w:basedOn w:val="1"/>
    <w:link w:val="5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unhideWhenUsed/>
    <w:qFormat/>
    <w:uiPriority w:val="0"/>
  </w:style>
  <w:style w:type="paragraph" w:styleId="23">
    <w:name w:val="Subtitle"/>
    <w:basedOn w:val="1"/>
    <w:next w:val="1"/>
    <w:link w:val="94"/>
    <w:qFormat/>
    <w:uiPriority w:val="99"/>
    <w:pPr>
      <w:spacing w:before="240" w:after="60" w:line="312" w:lineRule="auto"/>
      <w:jc w:val="center"/>
      <w:outlineLvl w:val="1"/>
    </w:pPr>
    <w:rPr>
      <w:rFonts w:ascii="Cambria" w:hAnsi="Cambria"/>
      <w:b/>
      <w:bCs/>
      <w:kern w:val="28"/>
      <w:sz w:val="32"/>
      <w:szCs w:val="32"/>
    </w:rPr>
  </w:style>
  <w:style w:type="paragraph" w:styleId="24">
    <w:name w:val="footnote text"/>
    <w:basedOn w:val="1"/>
    <w:link w:val="101"/>
    <w:unhideWhenUsed/>
    <w:qFormat/>
    <w:uiPriority w:val="99"/>
    <w:pPr>
      <w:snapToGrid w:val="0"/>
      <w:jc w:val="left"/>
    </w:pPr>
    <w:rPr>
      <w:rFonts w:ascii="等线" w:hAnsi="等线" w:eastAsia="等线" w:cs="黑体"/>
      <w:sz w:val="18"/>
      <w:szCs w:val="18"/>
    </w:rPr>
  </w:style>
  <w:style w:type="paragraph" w:styleId="25">
    <w:name w:val="Body Text Indent 3"/>
    <w:basedOn w:val="1"/>
    <w:link w:val="135"/>
    <w:qFormat/>
    <w:uiPriority w:val="99"/>
    <w:pPr>
      <w:spacing w:after="120"/>
      <w:ind w:left="420" w:leftChars="200"/>
    </w:pPr>
    <w:rPr>
      <w:sz w:val="16"/>
      <w:szCs w:val="16"/>
    </w:rPr>
  </w:style>
  <w:style w:type="paragraph" w:styleId="26">
    <w:name w:val="toc 2"/>
    <w:basedOn w:val="1"/>
    <w:next w:val="1"/>
    <w:qFormat/>
    <w:uiPriority w:val="0"/>
    <w:pPr>
      <w:ind w:left="420"/>
      <w:jc w:val="center"/>
    </w:pPr>
    <w:rPr>
      <w:rFonts w:ascii="楷体_GB2312" w:eastAsia="楷体_GB2312"/>
      <w:sz w:val="32"/>
    </w:rPr>
  </w:style>
  <w:style w:type="paragraph" w:styleId="27">
    <w:name w:val="Body Text 2"/>
    <w:basedOn w:val="1"/>
    <w:link w:val="90"/>
    <w:qFormat/>
    <w:uiPriority w:val="99"/>
    <w:pPr>
      <w:spacing w:after="120" w:line="480" w:lineRule="auto"/>
    </w:pPr>
  </w:style>
  <w:style w:type="paragraph" w:styleId="28">
    <w:name w:val="HTML Preformatted"/>
    <w:basedOn w:val="1"/>
    <w:link w:val="108"/>
    <w:unhideWhenUsed/>
    <w:qFormat/>
    <w:uiPriority w:val="0"/>
    <w:pPr>
      <w:widowControl/>
      <w:jc w:val="left"/>
    </w:pPr>
    <w:rPr>
      <w:rFonts w:ascii="宋体" w:hAnsi="宋体" w:cs="宋体"/>
      <w:kern w:val="0"/>
      <w:sz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105"/>
    <w:qFormat/>
    <w:uiPriority w:val="0"/>
    <w:pPr>
      <w:spacing w:before="240" w:after="60"/>
      <w:jc w:val="center"/>
      <w:outlineLvl w:val="0"/>
    </w:pPr>
    <w:rPr>
      <w:rFonts w:ascii="Arial" w:hAnsi="Arial"/>
      <w:b/>
      <w:sz w:val="32"/>
    </w:rPr>
  </w:style>
  <w:style w:type="paragraph" w:styleId="31">
    <w:name w:val="Body Text First Indent"/>
    <w:basedOn w:val="13"/>
    <w:link w:val="131"/>
    <w:autoRedefine/>
    <w:qFormat/>
    <w:uiPriority w:val="0"/>
    <w:pPr>
      <w:ind w:firstLine="420" w:firstLineChars="100"/>
    </w:pPr>
  </w:style>
  <w:style w:type="paragraph" w:styleId="32">
    <w:name w:val="Body Text First Indent 2"/>
    <w:basedOn w:val="14"/>
    <w:link w:val="107"/>
    <w:autoRedefine/>
    <w:unhideWhenUsed/>
    <w:qFormat/>
    <w:uiPriority w:val="0"/>
    <w:pPr>
      <w:spacing w:after="120"/>
      <w:ind w:left="420" w:leftChars="200" w:firstLine="420" w:firstLineChars="200"/>
    </w:pPr>
    <w:rPr>
      <w:rFonts w:ascii="Calibri" w:hAnsi="Calibri" w:eastAsia="宋体"/>
      <w:sz w:val="21"/>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bCs/>
    </w:rPr>
  </w:style>
  <w:style w:type="character" w:styleId="37">
    <w:name w:val="page number"/>
    <w:basedOn w:val="35"/>
    <w:qFormat/>
    <w:uiPriority w:val="0"/>
  </w:style>
  <w:style w:type="character" w:styleId="38">
    <w:name w:val="Emphasis"/>
    <w:basedOn w:val="35"/>
    <w:autoRedefine/>
    <w:qFormat/>
    <w:uiPriority w:val="0"/>
    <w:rPr>
      <w:i/>
      <w:iCs/>
    </w:rPr>
  </w:style>
  <w:style w:type="character" w:styleId="39">
    <w:name w:val="Hyperlink"/>
    <w:basedOn w:val="35"/>
    <w:qFormat/>
    <w:uiPriority w:val="99"/>
    <w:rPr>
      <w:color w:val="0000FF"/>
      <w:u w:val="single"/>
    </w:rPr>
  </w:style>
  <w:style w:type="character" w:customStyle="1" w:styleId="40">
    <w:name w:val="标题 1 Char"/>
    <w:basedOn w:val="35"/>
    <w:link w:val="2"/>
    <w:qFormat/>
    <w:locked/>
    <w:uiPriority w:val="0"/>
    <w:rPr>
      <w:rFonts w:eastAsia="宋体"/>
      <w:b/>
      <w:bCs/>
      <w:kern w:val="44"/>
      <w:sz w:val="44"/>
      <w:szCs w:val="44"/>
      <w:lang w:val="en-US" w:eastAsia="zh-CN" w:bidi="ar-SA"/>
    </w:rPr>
  </w:style>
  <w:style w:type="character" w:customStyle="1" w:styleId="41">
    <w:name w:val="标题 2 Char"/>
    <w:basedOn w:val="35"/>
    <w:link w:val="3"/>
    <w:qFormat/>
    <w:uiPriority w:val="9"/>
    <w:rPr>
      <w:rFonts w:ascii="Arial" w:hAnsi="Arial" w:eastAsia="黑体"/>
      <w:b/>
      <w:bCs/>
      <w:kern w:val="2"/>
      <w:sz w:val="32"/>
      <w:szCs w:val="32"/>
      <w:lang w:val="en-US" w:eastAsia="zh-CN" w:bidi="ar-SA"/>
    </w:rPr>
  </w:style>
  <w:style w:type="character" w:customStyle="1" w:styleId="42">
    <w:name w:val="标题 3 Char"/>
    <w:basedOn w:val="35"/>
    <w:link w:val="4"/>
    <w:autoRedefine/>
    <w:qFormat/>
    <w:locked/>
    <w:uiPriority w:val="0"/>
    <w:rPr>
      <w:rFonts w:eastAsia="宋体"/>
      <w:b/>
      <w:bCs/>
      <w:kern w:val="2"/>
      <w:sz w:val="32"/>
      <w:szCs w:val="32"/>
      <w:lang w:val="en-US" w:eastAsia="zh-CN" w:bidi="ar-SA"/>
    </w:rPr>
  </w:style>
  <w:style w:type="paragraph" w:customStyle="1" w:styleId="43">
    <w:name w:val="_Style 5"/>
    <w:basedOn w:val="1"/>
    <w:qFormat/>
    <w:uiPriority w:val="0"/>
  </w:style>
  <w:style w:type="character" w:customStyle="1" w:styleId="44">
    <w:name w:val="ca-3"/>
    <w:basedOn w:val="35"/>
    <w:qFormat/>
    <w:uiPriority w:val="0"/>
  </w:style>
  <w:style w:type="character" w:customStyle="1" w:styleId="45">
    <w:name w:val="16"/>
    <w:basedOn w:val="35"/>
    <w:autoRedefine/>
    <w:qFormat/>
    <w:uiPriority w:val="0"/>
  </w:style>
  <w:style w:type="character" w:customStyle="1" w:styleId="46">
    <w:name w:val="biaoti-61"/>
    <w:basedOn w:val="35"/>
    <w:qFormat/>
    <w:uiPriority w:val="0"/>
    <w:rPr>
      <w:b/>
      <w:bCs/>
      <w:color w:val="000066"/>
      <w:sz w:val="30"/>
      <w:szCs w:val="30"/>
    </w:rPr>
  </w:style>
  <w:style w:type="character" w:customStyle="1" w:styleId="47">
    <w:name w:val="scayt-misspell"/>
    <w:basedOn w:val="35"/>
    <w:qFormat/>
    <w:uiPriority w:val="0"/>
  </w:style>
  <w:style w:type="character" w:customStyle="1" w:styleId="48">
    <w:name w:val="ht1"/>
    <w:basedOn w:val="35"/>
    <w:qFormat/>
    <w:uiPriority w:val="0"/>
  </w:style>
  <w:style w:type="character" w:customStyle="1" w:styleId="49">
    <w:name w:val="我的正文 Char Char"/>
    <w:basedOn w:val="35"/>
    <w:link w:val="50"/>
    <w:qFormat/>
    <w:uiPriority w:val="0"/>
    <w:rPr>
      <w:rFonts w:ascii="楷体_GB2312" w:hAnsi="Arial" w:eastAsia="楷体_GB2312" w:cs="Arial"/>
      <w:kern w:val="2"/>
      <w:sz w:val="28"/>
      <w:szCs w:val="30"/>
      <w:lang w:val="en-US" w:eastAsia="zh-CN" w:bidi="ar-SA"/>
    </w:rPr>
  </w:style>
  <w:style w:type="paragraph" w:customStyle="1" w:styleId="50">
    <w:name w:val="我的正文"/>
    <w:basedOn w:val="1"/>
    <w:link w:val="49"/>
    <w:autoRedefine/>
    <w:qFormat/>
    <w:uiPriority w:val="0"/>
    <w:pPr>
      <w:spacing w:line="360" w:lineRule="auto"/>
      <w:ind w:firstLine="200" w:firstLineChars="200"/>
    </w:pPr>
    <w:rPr>
      <w:rFonts w:ascii="楷体_GB2312" w:hAnsi="Arial" w:eastAsia="楷体_GB2312" w:cs="Arial"/>
      <w:sz w:val="28"/>
      <w:szCs w:val="30"/>
    </w:rPr>
  </w:style>
  <w:style w:type="character" w:customStyle="1" w:styleId="51">
    <w:name w:val="页眉 Char"/>
    <w:basedOn w:val="35"/>
    <w:link w:val="21"/>
    <w:qFormat/>
    <w:uiPriority w:val="0"/>
    <w:rPr>
      <w:rFonts w:eastAsia="宋体"/>
      <w:kern w:val="2"/>
      <w:sz w:val="18"/>
      <w:szCs w:val="24"/>
      <w:lang w:val="en-US" w:eastAsia="zh-CN" w:bidi="ar-SA"/>
    </w:rPr>
  </w:style>
  <w:style w:type="paragraph" w:customStyle="1" w:styleId="52">
    <w:name w:val="Char"/>
    <w:basedOn w:val="1"/>
    <w:qFormat/>
    <w:uiPriority w:val="0"/>
    <w:pPr>
      <w:widowControl/>
      <w:spacing w:after="160" w:line="240" w:lineRule="exact"/>
      <w:jc w:val="left"/>
    </w:pPr>
  </w:style>
  <w:style w:type="paragraph" w:customStyle="1" w:styleId="53">
    <w:name w:val="Char1"/>
    <w:basedOn w:val="1"/>
    <w:autoRedefine/>
    <w:qFormat/>
    <w:uiPriority w:val="0"/>
    <w:pPr>
      <w:widowControl/>
      <w:adjustRightInd w:val="0"/>
      <w:spacing w:after="160" w:line="240" w:lineRule="exact"/>
      <w:jc w:val="left"/>
    </w:pPr>
  </w:style>
  <w:style w:type="character" w:customStyle="1" w:styleId="54">
    <w:name w:val="页脚 Char"/>
    <w:basedOn w:val="35"/>
    <w:link w:val="20"/>
    <w:qFormat/>
    <w:uiPriority w:val="99"/>
    <w:rPr>
      <w:rFonts w:eastAsia="宋体"/>
      <w:kern w:val="2"/>
      <w:sz w:val="18"/>
      <w:szCs w:val="24"/>
      <w:lang w:val="en-US" w:eastAsia="zh-CN" w:bidi="ar-SA"/>
    </w:rPr>
  </w:style>
  <w:style w:type="paragraph" w:customStyle="1" w:styleId="5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报告正文1"/>
    <w:basedOn w:val="1"/>
    <w:autoRedefine/>
    <w:qFormat/>
    <w:uiPriority w:val="0"/>
    <w:pPr>
      <w:spacing w:line="580" w:lineRule="exact"/>
      <w:ind w:firstLine="200" w:firstLineChars="200"/>
    </w:pPr>
    <w:rPr>
      <w:rFonts w:eastAsia="方正仿宋_GBK" w:cs="宋体"/>
      <w:szCs w:val="20"/>
    </w:rPr>
  </w:style>
  <w:style w:type="paragraph" w:customStyle="1" w:styleId="57">
    <w:name w:val="Char Char Char1 Char Char Char Char Char Char Char Char Char Char Char Char Char Char Char Char Char Char Char"/>
    <w:basedOn w:val="1"/>
    <w:next w:val="1"/>
    <w:autoRedefine/>
    <w:qFormat/>
    <w:uiPriority w:val="0"/>
    <w:pPr>
      <w:spacing w:line="360" w:lineRule="auto"/>
      <w:ind w:firstLine="200" w:firstLineChars="200"/>
    </w:pPr>
    <w:rPr>
      <w:rFonts w:ascii="宋体" w:hAnsi="宋体" w:cs="宋体"/>
      <w:sz w:val="24"/>
    </w:rPr>
  </w:style>
  <w:style w:type="paragraph" w:customStyle="1" w:styleId="58">
    <w:name w:val="Char Char Char1 Char"/>
    <w:basedOn w:val="1"/>
    <w:autoRedefine/>
    <w:qFormat/>
    <w:uiPriority w:val="0"/>
    <w:pPr>
      <w:widowControl/>
      <w:spacing w:after="160" w:line="240" w:lineRule="exact"/>
      <w:jc w:val="left"/>
    </w:pPr>
  </w:style>
  <w:style w:type="paragraph" w:customStyle="1" w:styleId="59">
    <w:name w:val="标题5"/>
    <w:basedOn w:val="1"/>
    <w:next w:val="1"/>
    <w:qFormat/>
    <w:uiPriority w:val="0"/>
    <w:pPr>
      <w:keepNext/>
      <w:widowControl/>
      <w:spacing w:before="100" w:beforeAutospacing="1" w:after="100" w:afterAutospacing="1" w:line="240" w:lineRule="exact"/>
      <w:ind w:firstLine="360" w:firstLineChars="150"/>
      <w:jc w:val="left"/>
    </w:pPr>
  </w:style>
  <w:style w:type="paragraph" w:customStyle="1" w:styleId="60">
    <w:name w:val="p0"/>
    <w:basedOn w:val="1"/>
    <w:autoRedefine/>
    <w:qFormat/>
    <w:uiPriority w:val="0"/>
    <w:pPr>
      <w:widowControl/>
      <w:spacing w:line="365" w:lineRule="atLeast"/>
      <w:ind w:left="1"/>
      <w:textAlignment w:val="bottom"/>
    </w:pPr>
    <w:rPr>
      <w:kern w:val="0"/>
      <w:sz w:val="20"/>
    </w:rPr>
  </w:style>
  <w:style w:type="paragraph" w:customStyle="1" w:styleId="61">
    <w:name w:val="p15"/>
    <w:basedOn w:val="1"/>
    <w:autoRedefine/>
    <w:qFormat/>
    <w:uiPriority w:val="3"/>
    <w:pPr>
      <w:widowControl/>
    </w:pPr>
    <w:rPr>
      <w:kern w:val="0"/>
      <w:szCs w:val="21"/>
    </w:rPr>
  </w:style>
  <w:style w:type="paragraph" w:customStyle="1" w:styleId="62">
    <w:name w:val="列出段落1"/>
    <w:basedOn w:val="1"/>
    <w:autoRedefine/>
    <w:qFormat/>
    <w:uiPriority w:val="0"/>
    <w:pPr>
      <w:ind w:firstLine="420" w:firstLineChars="200"/>
    </w:pPr>
  </w:style>
  <w:style w:type="paragraph" w:customStyle="1" w:styleId="63">
    <w:name w:val="Char1 Char Char Char"/>
    <w:basedOn w:val="1"/>
    <w:autoRedefine/>
    <w:qFormat/>
    <w:uiPriority w:val="0"/>
    <w:pPr>
      <w:spacing w:line="360" w:lineRule="auto"/>
    </w:pPr>
  </w:style>
  <w:style w:type="paragraph" w:customStyle="1" w:styleId="64">
    <w:name w:val="w1"/>
    <w:basedOn w:val="1"/>
    <w:autoRedefine/>
    <w:qFormat/>
    <w:uiPriority w:val="0"/>
    <w:pPr>
      <w:spacing w:line="360" w:lineRule="exact"/>
      <w:ind w:firstLine="551" w:firstLineChars="196"/>
    </w:pPr>
    <w:rPr>
      <w:rFonts w:ascii="仿宋_GB2312" w:hAnsi="宋体" w:eastAsia="仿宋_GB2312" w:cs="宋体"/>
      <w:b/>
      <w:sz w:val="28"/>
      <w:szCs w:val="28"/>
    </w:rPr>
  </w:style>
  <w:style w:type="paragraph" w:customStyle="1" w:styleId="65">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默认段落字体 Para Char Char Char Char"/>
    <w:basedOn w:val="1"/>
    <w:autoRedefine/>
    <w:qFormat/>
    <w:uiPriority w:val="0"/>
  </w:style>
  <w:style w:type="character" w:customStyle="1" w:styleId="72">
    <w:name w:val="批注文字 Char"/>
    <w:basedOn w:val="35"/>
    <w:link w:val="11"/>
    <w:autoRedefine/>
    <w:qFormat/>
    <w:uiPriority w:val="0"/>
    <w:rPr>
      <w:kern w:val="2"/>
      <w:sz w:val="21"/>
    </w:rPr>
  </w:style>
  <w:style w:type="character" w:customStyle="1" w:styleId="73">
    <w:name w:val="font121"/>
    <w:basedOn w:val="35"/>
    <w:autoRedefine/>
    <w:qFormat/>
    <w:uiPriority w:val="0"/>
    <w:rPr>
      <w:sz w:val="18"/>
      <w:szCs w:val="18"/>
    </w:rPr>
  </w:style>
  <w:style w:type="paragraph" w:customStyle="1" w:styleId="74">
    <w:name w:val="p16"/>
    <w:basedOn w:val="1"/>
    <w:autoRedefine/>
    <w:qFormat/>
    <w:uiPriority w:val="0"/>
    <w:pPr>
      <w:widowControl/>
    </w:pPr>
    <w:rPr>
      <w:rFonts w:ascii="宋体" w:hAnsi="宋体" w:cs="宋体"/>
      <w:kern w:val="0"/>
      <w:szCs w:val="21"/>
    </w:rPr>
  </w:style>
  <w:style w:type="paragraph" w:customStyle="1" w:styleId="75">
    <w:name w:val="p17"/>
    <w:basedOn w:val="1"/>
    <w:autoRedefine/>
    <w:qFormat/>
    <w:uiPriority w:val="0"/>
    <w:pPr>
      <w:widowControl/>
      <w:jc w:val="left"/>
    </w:pPr>
    <w:rPr>
      <w:rFonts w:ascii="宋体" w:hAnsi="宋体" w:cs="宋体"/>
      <w:kern w:val="0"/>
      <w:sz w:val="24"/>
    </w:rPr>
  </w:style>
  <w:style w:type="character" w:customStyle="1" w:styleId="76">
    <w:name w:val="正文文本 3 Char"/>
    <w:basedOn w:val="35"/>
    <w:link w:val="12"/>
    <w:autoRedefine/>
    <w:qFormat/>
    <w:uiPriority w:val="99"/>
    <w:rPr>
      <w:rFonts w:eastAsia="宋体"/>
      <w:kern w:val="2"/>
      <w:sz w:val="16"/>
      <w:szCs w:val="16"/>
      <w:lang w:val="en-US" w:eastAsia="zh-CN" w:bidi="ar-SA"/>
    </w:rPr>
  </w:style>
  <w:style w:type="paragraph" w:customStyle="1" w:styleId="7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 Char Char Char Char Char Char Char Char Char Char"/>
    <w:basedOn w:val="1"/>
    <w:autoRedefine/>
    <w:qFormat/>
    <w:uiPriority w:val="0"/>
    <w:pPr>
      <w:adjustRightInd w:val="0"/>
      <w:snapToGrid w:val="0"/>
      <w:spacing w:line="360" w:lineRule="auto"/>
      <w:ind w:firstLine="200" w:firstLineChars="200"/>
    </w:pPr>
  </w:style>
  <w:style w:type="paragraph" w:customStyle="1" w:styleId="79">
    <w:name w:val="style1"/>
    <w:basedOn w:val="1"/>
    <w:autoRedefine/>
    <w:qFormat/>
    <w:uiPriority w:val="0"/>
    <w:pPr>
      <w:widowControl/>
      <w:spacing w:before="100" w:beforeAutospacing="1" w:after="100" w:afterAutospacing="1"/>
      <w:jc w:val="left"/>
    </w:pPr>
    <w:rPr>
      <w:rFonts w:ascii="宋体" w:hAnsi="宋体"/>
      <w:kern w:val="0"/>
      <w:sz w:val="18"/>
    </w:rPr>
  </w:style>
  <w:style w:type="paragraph" w:customStyle="1" w:styleId="80">
    <w:name w:val="Char Char Char Char"/>
    <w:basedOn w:val="1"/>
    <w:autoRedefine/>
    <w:qFormat/>
    <w:uiPriority w:val="0"/>
  </w:style>
  <w:style w:type="character" w:customStyle="1" w:styleId="81">
    <w:name w:val="15"/>
    <w:basedOn w:val="35"/>
    <w:autoRedefine/>
    <w:qFormat/>
    <w:uiPriority w:val="0"/>
    <w:rPr>
      <w:rFonts w:hint="default" w:ascii="Times New Roman" w:hAnsi="Times New Roman" w:cs="Times New Roman"/>
      <w:b/>
      <w:bCs/>
      <w:sz w:val="20"/>
      <w:szCs w:val="20"/>
    </w:rPr>
  </w:style>
  <w:style w:type="character" w:customStyle="1" w:styleId="82">
    <w:name w:val="Character Style 2"/>
    <w:autoRedefine/>
    <w:qFormat/>
    <w:uiPriority w:val="0"/>
    <w:rPr>
      <w:rFonts w:cs="Times New Roman"/>
    </w:rPr>
  </w:style>
  <w:style w:type="paragraph" w:customStyle="1" w:styleId="83">
    <w:name w:val="Style 1"/>
    <w:autoRedefine/>
    <w:qFormat/>
    <w:uiPriority w:val="0"/>
    <w:pPr>
      <w:widowControl w:val="0"/>
      <w:autoSpaceDE w:val="0"/>
      <w:autoSpaceDN w:val="0"/>
    </w:pPr>
    <w:rPr>
      <w:rFonts w:ascii="Times New Roman" w:hAnsi="Times New Roman" w:eastAsia="宋体" w:cs="Times New Roman"/>
      <w:sz w:val="24"/>
      <w:szCs w:val="24"/>
      <w:lang w:val="en-US" w:eastAsia="zh-CN" w:bidi="hi-IN"/>
    </w:rPr>
  </w:style>
  <w:style w:type="character" w:customStyle="1" w:styleId="84">
    <w:name w:val="apple-converted-space"/>
    <w:basedOn w:val="35"/>
    <w:autoRedefine/>
    <w:qFormat/>
    <w:uiPriority w:val="0"/>
  </w:style>
  <w:style w:type="paragraph" w:customStyle="1" w:styleId="85">
    <w:name w:val="列出段落11"/>
    <w:basedOn w:val="1"/>
    <w:autoRedefine/>
    <w:qFormat/>
    <w:uiPriority w:val="34"/>
    <w:pPr>
      <w:ind w:firstLine="420" w:firstLineChars="200"/>
    </w:pPr>
    <w:rPr>
      <w:rFonts w:ascii="Calibri" w:hAnsi="Calibri" w:cs="黑体"/>
      <w:szCs w:val="22"/>
    </w:rPr>
  </w:style>
  <w:style w:type="character" w:customStyle="1" w:styleId="86">
    <w:name w:val="Header Char"/>
    <w:basedOn w:val="35"/>
    <w:autoRedefine/>
    <w:semiHidden/>
    <w:qFormat/>
    <w:locked/>
    <w:uiPriority w:val="0"/>
    <w:rPr>
      <w:rFonts w:eastAsia="宋体"/>
      <w:kern w:val="2"/>
      <w:sz w:val="18"/>
      <w:szCs w:val="18"/>
      <w:lang w:val="en-US" w:eastAsia="zh-CN" w:bidi="ar-SA"/>
    </w:rPr>
  </w:style>
  <w:style w:type="character" w:customStyle="1" w:styleId="87">
    <w:name w:val="Footer Char"/>
    <w:basedOn w:val="35"/>
    <w:autoRedefine/>
    <w:semiHidden/>
    <w:qFormat/>
    <w:locked/>
    <w:uiPriority w:val="0"/>
    <w:rPr>
      <w:rFonts w:eastAsia="宋体"/>
      <w:kern w:val="2"/>
      <w:sz w:val="18"/>
      <w:szCs w:val="18"/>
      <w:lang w:val="en-US" w:eastAsia="zh-CN" w:bidi="ar-SA"/>
    </w:rPr>
  </w:style>
  <w:style w:type="paragraph" w:customStyle="1" w:styleId="88">
    <w:name w:val="p18"/>
    <w:basedOn w:val="1"/>
    <w:autoRedefine/>
    <w:qFormat/>
    <w:uiPriority w:val="0"/>
    <w:pPr>
      <w:widowControl/>
    </w:pPr>
    <w:rPr>
      <w:kern w:val="0"/>
      <w:szCs w:val="21"/>
    </w:rPr>
  </w:style>
  <w:style w:type="paragraph" w:styleId="89">
    <w:name w:val="List Paragraph"/>
    <w:basedOn w:val="1"/>
    <w:autoRedefine/>
    <w:qFormat/>
    <w:uiPriority w:val="34"/>
    <w:pPr>
      <w:ind w:firstLine="420" w:firstLineChars="200"/>
    </w:pPr>
    <w:rPr>
      <w:rFonts w:ascii="Calibri" w:hAnsi="Calibri"/>
      <w:szCs w:val="22"/>
    </w:rPr>
  </w:style>
  <w:style w:type="character" w:customStyle="1" w:styleId="90">
    <w:name w:val="正文文本 2 Char"/>
    <w:basedOn w:val="35"/>
    <w:link w:val="27"/>
    <w:autoRedefine/>
    <w:qFormat/>
    <w:uiPriority w:val="99"/>
    <w:rPr>
      <w:kern w:val="2"/>
      <w:sz w:val="21"/>
      <w:szCs w:val="24"/>
    </w:rPr>
  </w:style>
  <w:style w:type="character" w:customStyle="1" w:styleId="91">
    <w:name w:val="副标题 Char"/>
    <w:basedOn w:val="35"/>
    <w:link w:val="23"/>
    <w:autoRedefine/>
    <w:qFormat/>
    <w:uiPriority w:val="99"/>
    <w:rPr>
      <w:rFonts w:ascii="Cambria" w:hAnsi="Cambria"/>
      <w:b/>
      <w:bCs/>
      <w:kern w:val="28"/>
      <w:sz w:val="32"/>
      <w:szCs w:val="32"/>
    </w:rPr>
  </w:style>
  <w:style w:type="character" w:customStyle="1" w:styleId="92">
    <w:name w:val="Char Char"/>
    <w:basedOn w:val="35"/>
    <w:autoRedefine/>
    <w:qFormat/>
    <w:locked/>
    <w:uiPriority w:val="0"/>
    <w:rPr>
      <w:rFonts w:ascii="Cambria" w:hAnsi="Cambria" w:cs="Times New Roman"/>
      <w:b/>
      <w:bCs/>
      <w:kern w:val="28"/>
      <w:sz w:val="32"/>
      <w:szCs w:val="32"/>
    </w:rPr>
  </w:style>
  <w:style w:type="paragraph" w:customStyle="1" w:styleId="93">
    <w:name w:val="Char Char Char Char Char Char Char Char Char Char Char Char Char Char Char Char Char Char Char Char Char"/>
    <w:basedOn w:val="1"/>
    <w:autoRedefine/>
    <w:qFormat/>
    <w:uiPriority w:val="0"/>
    <w:pPr>
      <w:widowControl/>
      <w:spacing w:after="160" w:line="240" w:lineRule="exact"/>
      <w:jc w:val="left"/>
    </w:pPr>
  </w:style>
  <w:style w:type="character" w:customStyle="1" w:styleId="94">
    <w:name w:val="副标题 Char1"/>
    <w:basedOn w:val="35"/>
    <w:link w:val="23"/>
    <w:autoRedefine/>
    <w:qFormat/>
    <w:uiPriority w:val="99"/>
    <w:rPr>
      <w:rFonts w:ascii="Cambria" w:hAnsi="Cambria" w:cs="Times New Roman"/>
      <w:b/>
      <w:bCs/>
      <w:kern w:val="28"/>
      <w:sz w:val="32"/>
      <w:szCs w:val="32"/>
    </w:rPr>
  </w:style>
  <w:style w:type="paragraph" w:styleId="95">
    <w:name w:val="No Spacing"/>
    <w:link w:val="96"/>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无间隔 Char"/>
    <w:basedOn w:val="35"/>
    <w:link w:val="95"/>
    <w:autoRedefine/>
    <w:qFormat/>
    <w:uiPriority w:val="1"/>
    <w:rPr>
      <w:kern w:val="2"/>
      <w:sz w:val="21"/>
      <w:szCs w:val="24"/>
      <w:lang w:val="en-US" w:eastAsia="zh-CN" w:bidi="ar-SA"/>
    </w:rPr>
  </w:style>
  <w:style w:type="paragraph" w:customStyle="1" w:styleId="97">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8">
    <w:name w:val="文档结构图 Char"/>
    <w:basedOn w:val="35"/>
    <w:link w:val="9"/>
    <w:autoRedefine/>
    <w:qFormat/>
    <w:uiPriority w:val="99"/>
    <w:rPr>
      <w:rFonts w:ascii="宋体"/>
      <w:kern w:val="2"/>
      <w:sz w:val="18"/>
      <w:szCs w:val="18"/>
    </w:rPr>
  </w:style>
  <w:style w:type="paragraph" w:customStyle="1" w:styleId="99">
    <w:name w:val="样式 标题 1 + 两端对齐 首行缩进:  2 字符"/>
    <w:basedOn w:val="2"/>
    <w:autoRedefine/>
    <w:qFormat/>
    <w:uiPriority w:val="0"/>
    <w:pPr>
      <w:spacing w:line="240" w:lineRule="auto"/>
    </w:pPr>
    <w:rPr>
      <w:rFonts w:eastAsia="方正大标宋简体" w:cs="宋体"/>
      <w:szCs w:val="20"/>
    </w:rPr>
  </w:style>
  <w:style w:type="paragraph" w:customStyle="1" w:styleId="100">
    <w:name w:val="样式 标题 1 + 首行缩进:  2 字符"/>
    <w:basedOn w:val="2"/>
    <w:autoRedefine/>
    <w:qFormat/>
    <w:uiPriority w:val="0"/>
    <w:pPr>
      <w:spacing w:line="240" w:lineRule="auto"/>
      <w:jc w:val="center"/>
    </w:pPr>
    <w:rPr>
      <w:rFonts w:eastAsia="方正大标宋简体" w:cs="宋体"/>
      <w:szCs w:val="20"/>
    </w:rPr>
  </w:style>
  <w:style w:type="character" w:customStyle="1" w:styleId="101">
    <w:name w:val="脚注文本 Char"/>
    <w:basedOn w:val="35"/>
    <w:link w:val="24"/>
    <w:autoRedefine/>
    <w:qFormat/>
    <w:uiPriority w:val="99"/>
    <w:rPr>
      <w:rFonts w:ascii="等线" w:hAnsi="等线" w:eastAsia="等线" w:cs="黑体"/>
      <w:kern w:val="2"/>
      <w:sz w:val="18"/>
      <w:szCs w:val="18"/>
    </w:rPr>
  </w:style>
  <w:style w:type="character" w:customStyle="1" w:styleId="102">
    <w:name w:val="NormalCharacter"/>
    <w:autoRedefine/>
    <w:qFormat/>
    <w:uiPriority w:val="0"/>
  </w:style>
  <w:style w:type="paragraph" w:customStyle="1" w:styleId="103">
    <w:name w:val="正文首行缩进 21"/>
    <w:basedOn w:val="1"/>
    <w:next w:val="29"/>
    <w:autoRedefine/>
    <w:qFormat/>
    <w:uiPriority w:val="0"/>
    <w:pPr>
      <w:widowControl/>
      <w:ind w:left="200" w:leftChars="200" w:firstLine="200" w:firstLineChars="200"/>
      <w:jc w:val="left"/>
    </w:pPr>
    <w:rPr>
      <w:rFonts w:ascii="Calibri" w:hAnsi="Calibri" w:eastAsia="仿宋_GB2312" w:cs="Calibri"/>
      <w:kern w:val="0"/>
      <w:sz w:val="24"/>
    </w:rPr>
  </w:style>
  <w:style w:type="paragraph" w:customStyle="1" w:styleId="104">
    <w:name w:val="普通(网站)1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5">
    <w:name w:val="标题 Char"/>
    <w:basedOn w:val="35"/>
    <w:link w:val="30"/>
    <w:autoRedefine/>
    <w:qFormat/>
    <w:uiPriority w:val="0"/>
    <w:rPr>
      <w:rFonts w:ascii="Arial" w:hAnsi="Arial"/>
      <w:b/>
      <w:kern w:val="2"/>
      <w:sz w:val="32"/>
      <w:szCs w:val="24"/>
    </w:rPr>
  </w:style>
  <w:style w:type="character" w:customStyle="1" w:styleId="106">
    <w:name w:val="正文文本缩进 Char"/>
    <w:basedOn w:val="35"/>
    <w:link w:val="14"/>
    <w:autoRedefine/>
    <w:qFormat/>
    <w:uiPriority w:val="99"/>
    <w:rPr>
      <w:rFonts w:eastAsia="仿宋_GB2312"/>
      <w:kern w:val="2"/>
      <w:sz w:val="32"/>
      <w:szCs w:val="24"/>
    </w:rPr>
  </w:style>
  <w:style w:type="character" w:customStyle="1" w:styleId="107">
    <w:name w:val="正文首行缩进 2 Char"/>
    <w:basedOn w:val="106"/>
    <w:link w:val="32"/>
    <w:autoRedefine/>
    <w:qFormat/>
    <w:uiPriority w:val="0"/>
    <w:rPr>
      <w:rFonts w:ascii="Calibri" w:hAnsi="Calibri"/>
      <w:sz w:val="21"/>
    </w:rPr>
  </w:style>
  <w:style w:type="character" w:customStyle="1" w:styleId="108">
    <w:name w:val="HTML 预设格式 Char"/>
    <w:basedOn w:val="35"/>
    <w:link w:val="28"/>
    <w:autoRedefine/>
    <w:qFormat/>
    <w:uiPriority w:val="0"/>
    <w:rPr>
      <w:rFonts w:ascii="宋体" w:hAnsi="宋体" w:cs="宋体"/>
      <w:sz w:val="24"/>
      <w:szCs w:val="24"/>
    </w:rPr>
  </w:style>
  <w:style w:type="paragraph" w:customStyle="1" w:styleId="109">
    <w:name w:val="List Paragraph1"/>
    <w:basedOn w:val="1"/>
    <w:autoRedefine/>
    <w:qFormat/>
    <w:uiPriority w:val="0"/>
    <w:pPr>
      <w:widowControl/>
      <w:ind w:firstLine="420" w:firstLineChars="200"/>
    </w:pPr>
    <w:rPr>
      <w:rFonts w:ascii="Calibri" w:hAnsi="Calibri" w:cs="Calibri"/>
      <w:szCs w:val="21"/>
    </w:rPr>
  </w:style>
  <w:style w:type="paragraph" w:customStyle="1" w:styleId="110">
    <w:name w:val="列出段落2"/>
    <w:basedOn w:val="1"/>
    <w:autoRedefine/>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1">
    <w:name w:val="纯文本 Char"/>
    <w:basedOn w:val="35"/>
    <w:link w:val="16"/>
    <w:autoRedefine/>
    <w:qFormat/>
    <w:locked/>
    <w:uiPriority w:val="99"/>
    <w:rPr>
      <w:rFonts w:ascii="宋体" w:hAnsi="Courier New"/>
      <w:kern w:val="2"/>
      <w:sz w:val="21"/>
      <w:szCs w:val="24"/>
    </w:rPr>
  </w:style>
  <w:style w:type="character" w:customStyle="1" w:styleId="112">
    <w:name w:val="font51"/>
    <w:basedOn w:val="35"/>
    <w:autoRedefine/>
    <w:qFormat/>
    <w:uiPriority w:val="0"/>
    <w:rPr>
      <w:rFonts w:hint="eastAsia" w:ascii="仿宋" w:hAnsi="仿宋" w:eastAsia="仿宋" w:cs="仿宋"/>
      <w:color w:val="000000"/>
      <w:sz w:val="32"/>
      <w:szCs w:val="32"/>
      <w:u w:val="none"/>
    </w:rPr>
  </w:style>
  <w:style w:type="character" w:customStyle="1" w:styleId="113">
    <w:name w:val="font41"/>
    <w:basedOn w:val="35"/>
    <w:autoRedefine/>
    <w:qFormat/>
    <w:uiPriority w:val="0"/>
    <w:rPr>
      <w:rFonts w:hint="eastAsia" w:ascii="仿宋" w:hAnsi="仿宋" w:eastAsia="仿宋" w:cs="仿宋"/>
      <w:color w:val="0C0C0C"/>
      <w:sz w:val="32"/>
      <w:szCs w:val="32"/>
      <w:u w:val="none"/>
    </w:rPr>
  </w:style>
  <w:style w:type="character" w:customStyle="1" w:styleId="114">
    <w:name w:val="标题 4 Char"/>
    <w:basedOn w:val="35"/>
    <w:link w:val="5"/>
    <w:autoRedefine/>
    <w:qFormat/>
    <w:uiPriority w:val="0"/>
    <w:rPr>
      <w:rFonts w:ascii="Cambria" w:hAnsi="Cambria"/>
      <w:b/>
      <w:bCs/>
      <w:kern w:val="2"/>
      <w:sz w:val="28"/>
      <w:szCs w:val="28"/>
    </w:rPr>
  </w:style>
  <w:style w:type="character" w:customStyle="1" w:styleId="115">
    <w:name w:val="font31"/>
    <w:autoRedefine/>
    <w:qFormat/>
    <w:uiPriority w:val="0"/>
    <w:rPr>
      <w:rFonts w:hint="eastAsia" w:ascii="黑体" w:hAnsi="宋体" w:eastAsia="黑体" w:cs="黑体"/>
      <w:b/>
      <w:color w:val="000000"/>
      <w:sz w:val="24"/>
      <w:szCs w:val="24"/>
      <w:u w:val="none"/>
    </w:rPr>
  </w:style>
  <w:style w:type="paragraph" w:customStyle="1" w:styleId="116">
    <w:name w:val="Body text (2)"/>
    <w:basedOn w:val="1"/>
    <w:autoRedefine/>
    <w:qFormat/>
    <w:uiPriority w:val="0"/>
    <w:pPr>
      <w:shd w:val="clear" w:color="auto" w:fill="FFFFFF"/>
      <w:spacing w:line="533" w:lineRule="exact"/>
      <w:jc w:val="distribute"/>
    </w:pPr>
    <w:rPr>
      <w:rFonts w:ascii="PMingLiU" w:hAnsi="PMingLiU" w:eastAsia="PMingLiU" w:cs="PMingLiU"/>
      <w:sz w:val="28"/>
      <w:szCs w:val="28"/>
    </w:rPr>
  </w:style>
  <w:style w:type="paragraph" w:customStyle="1" w:styleId="117">
    <w:name w:val="引文目录1"/>
    <w:autoRedefine/>
    <w:qFormat/>
    <w:uiPriority w:val="0"/>
    <w:pPr>
      <w:ind w:left="420" w:leftChars="200"/>
    </w:pPr>
    <w:rPr>
      <w:rFonts w:ascii="Times New Roman" w:hAnsi="Times New Roman" w:eastAsia="宋体" w:cs="Times New Roman"/>
      <w:sz w:val="32"/>
      <w:szCs w:val="32"/>
      <w:lang w:val="en-US" w:eastAsia="zh-CN" w:bidi="ar-SA"/>
    </w:rPr>
  </w:style>
  <w:style w:type="paragraph" w:customStyle="1" w:styleId="118">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9">
    <w:name w:val="标题 5 Char"/>
    <w:basedOn w:val="35"/>
    <w:link w:val="6"/>
    <w:autoRedefine/>
    <w:semiHidden/>
    <w:qFormat/>
    <w:uiPriority w:val="0"/>
    <w:rPr>
      <w:b/>
      <w:bCs/>
      <w:kern w:val="2"/>
      <w:sz w:val="28"/>
      <w:szCs w:val="28"/>
    </w:rPr>
  </w:style>
  <w:style w:type="paragraph" w:customStyle="1" w:styleId="120">
    <w:name w:val="TableOfAuthoring"/>
    <w:basedOn w:val="1"/>
    <w:next w:val="1"/>
    <w:autoRedefine/>
    <w:qFormat/>
    <w:uiPriority w:val="99"/>
    <w:pPr>
      <w:ind w:left="420" w:leftChars="200"/>
      <w:textAlignment w:val="baseline"/>
    </w:pPr>
  </w:style>
  <w:style w:type="paragraph" w:customStyle="1" w:styleId="121">
    <w:name w:val="Heading5"/>
    <w:basedOn w:val="1"/>
    <w:next w:val="1"/>
    <w:autoRedefine/>
    <w:qFormat/>
    <w:uiPriority w:val="0"/>
    <w:pPr>
      <w:snapToGrid w:val="0"/>
      <w:spacing w:line="360" w:lineRule="auto"/>
      <w:ind w:firstLine="200" w:firstLineChars="200"/>
      <w:textAlignment w:val="baseline"/>
    </w:pPr>
    <w:rPr>
      <w:rFonts w:ascii="仿宋_GB2312" w:hAnsi="Calibri" w:eastAsia="仿宋_GB2312"/>
      <w:sz w:val="32"/>
      <w:szCs w:val="28"/>
    </w:rPr>
  </w:style>
  <w:style w:type="paragraph" w:customStyle="1" w:styleId="122">
    <w:name w:val="Body Text First Indent 21"/>
    <w:basedOn w:val="1"/>
    <w:autoRedefine/>
    <w:qFormat/>
    <w:uiPriority w:val="0"/>
    <w:pPr>
      <w:spacing w:after="120"/>
      <w:ind w:left="420" w:leftChars="200" w:firstLine="420" w:firstLineChars="200"/>
    </w:pPr>
  </w:style>
  <w:style w:type="paragraph" w:customStyle="1" w:styleId="123">
    <w:name w:val="无间隔1"/>
    <w:autoRedefine/>
    <w:qFormat/>
    <w:uiPriority w:val="0"/>
    <w:pPr>
      <w:widowControl w:val="0"/>
      <w:ind w:firstLine="200"/>
      <w:jc w:val="both"/>
    </w:pPr>
    <w:rPr>
      <w:rFonts w:ascii="Calibri" w:hAnsi="Calibri" w:eastAsia="Calibri" w:cs="Calibri"/>
      <w:color w:val="000000"/>
      <w:kern w:val="2"/>
      <w:sz w:val="21"/>
      <w:szCs w:val="21"/>
      <w:lang w:val="en-US" w:eastAsia="zh-CN" w:bidi="ar-SA"/>
    </w:rPr>
  </w:style>
  <w:style w:type="paragraph" w:customStyle="1" w:styleId="124">
    <w:name w:val="BodyText"/>
    <w:basedOn w:val="1"/>
    <w:autoRedefine/>
    <w:qFormat/>
    <w:uiPriority w:val="0"/>
    <w:pPr>
      <w:spacing w:after="120"/>
      <w:textAlignment w:val="baseline"/>
    </w:pPr>
    <w:rPr>
      <w:szCs w:val="20"/>
    </w:rPr>
  </w:style>
  <w:style w:type="paragraph" w:customStyle="1" w:styleId="125">
    <w:name w:val="二级标题 Char Char Char"/>
    <w:basedOn w:val="1"/>
    <w:next w:val="1"/>
    <w:autoRedefine/>
    <w:qFormat/>
    <w:uiPriority w:val="0"/>
    <w:pPr>
      <w:ind w:firstLine="200" w:firstLineChars="200"/>
    </w:pPr>
    <w:rPr>
      <w:rFonts w:eastAsia="Times New Roman"/>
      <w:kern w:val="0"/>
      <w:sz w:val="20"/>
    </w:rPr>
  </w:style>
  <w:style w:type="paragraph" w:customStyle="1" w:styleId="126">
    <w:name w:val="文本"/>
    <w:basedOn w:val="1"/>
    <w:next w:val="1"/>
    <w:autoRedefine/>
    <w:qFormat/>
    <w:uiPriority w:val="0"/>
    <w:pPr>
      <w:spacing w:line="360" w:lineRule="auto"/>
    </w:pPr>
    <w:rPr>
      <w:rFonts w:ascii="宋体"/>
      <w:spacing w:val="4"/>
      <w:sz w:val="24"/>
    </w:rPr>
  </w:style>
  <w:style w:type="paragraph" w:customStyle="1" w:styleId="127">
    <w:name w:val="TOAHeading"/>
    <w:basedOn w:val="1"/>
    <w:next w:val="1"/>
    <w:autoRedefine/>
    <w:qFormat/>
    <w:uiPriority w:val="0"/>
    <w:pPr>
      <w:spacing w:before="120" w:after="100" w:afterAutospacing="1"/>
      <w:textAlignment w:val="baseline"/>
    </w:pPr>
    <w:rPr>
      <w:rFonts w:ascii="Arial" w:hAnsi="Arial" w:cs="Arial"/>
      <w:sz w:val="24"/>
    </w:rPr>
  </w:style>
  <w:style w:type="paragraph" w:customStyle="1" w:styleId="128">
    <w:name w:val="正文文本首行缩进 21"/>
    <w:basedOn w:val="1"/>
    <w:autoRedefine/>
    <w:qFormat/>
    <w:uiPriority w:val="0"/>
    <w:pPr>
      <w:spacing w:before="100" w:beforeAutospacing="1" w:after="100" w:afterAutospacing="1"/>
      <w:ind w:left="200" w:leftChars="200" w:firstLine="420" w:firstLineChars="200"/>
    </w:pPr>
    <w:rPr>
      <w:rFonts w:ascii="Calibri" w:hAnsi="Calibri"/>
      <w:szCs w:val="21"/>
    </w:rPr>
  </w:style>
  <w:style w:type="paragraph" w:customStyle="1" w:styleId="129">
    <w:name w:val="普通段落"/>
    <w:autoRedefine/>
    <w:qFormat/>
    <w:uiPriority w:val="0"/>
    <w:pPr>
      <w:widowControl w:val="0"/>
      <w:spacing w:line="560" w:lineRule="exact"/>
      <w:ind w:firstLine="420" w:firstLineChars="200"/>
      <w:jc w:val="both"/>
    </w:pPr>
    <w:rPr>
      <w:rFonts w:ascii="宋体" w:hAnsi="宋体" w:eastAsia="仿宋_GB2312" w:cs="Times New Roman"/>
      <w:sz w:val="32"/>
      <w:lang w:val="en-US" w:eastAsia="zh-CN" w:bidi="ar-SA"/>
    </w:rPr>
  </w:style>
  <w:style w:type="character" w:customStyle="1" w:styleId="130">
    <w:name w:val="正文文本 Char"/>
    <w:basedOn w:val="35"/>
    <w:link w:val="13"/>
    <w:autoRedefine/>
    <w:qFormat/>
    <w:uiPriority w:val="0"/>
    <w:rPr>
      <w:kern w:val="2"/>
      <w:sz w:val="21"/>
      <w:szCs w:val="24"/>
    </w:rPr>
  </w:style>
  <w:style w:type="character" w:customStyle="1" w:styleId="131">
    <w:name w:val="正文首行缩进 Char"/>
    <w:basedOn w:val="130"/>
    <w:link w:val="31"/>
    <w:autoRedefine/>
    <w:qFormat/>
    <w:uiPriority w:val="0"/>
  </w:style>
  <w:style w:type="character" w:customStyle="1" w:styleId="132">
    <w:name w:val="日期 Char"/>
    <w:basedOn w:val="35"/>
    <w:link w:val="17"/>
    <w:autoRedefine/>
    <w:qFormat/>
    <w:uiPriority w:val="0"/>
    <w:rPr>
      <w:kern w:val="2"/>
      <w:sz w:val="21"/>
      <w:szCs w:val="24"/>
    </w:rPr>
  </w:style>
  <w:style w:type="character" w:customStyle="1" w:styleId="133">
    <w:name w:val="正文文本缩进 2 Char"/>
    <w:basedOn w:val="35"/>
    <w:link w:val="18"/>
    <w:autoRedefine/>
    <w:qFormat/>
    <w:uiPriority w:val="99"/>
    <w:rPr>
      <w:kern w:val="2"/>
      <w:sz w:val="21"/>
      <w:szCs w:val="24"/>
    </w:rPr>
  </w:style>
  <w:style w:type="character" w:customStyle="1" w:styleId="134">
    <w:name w:val="批注框文本 Char"/>
    <w:basedOn w:val="35"/>
    <w:link w:val="19"/>
    <w:autoRedefine/>
    <w:qFormat/>
    <w:uiPriority w:val="0"/>
    <w:rPr>
      <w:kern w:val="2"/>
      <w:sz w:val="18"/>
      <w:szCs w:val="18"/>
    </w:rPr>
  </w:style>
  <w:style w:type="character" w:customStyle="1" w:styleId="135">
    <w:name w:val="正文文本缩进 3 Char"/>
    <w:basedOn w:val="35"/>
    <w:link w:val="25"/>
    <w:autoRedefine/>
    <w:qFormat/>
    <w:uiPriority w:val="99"/>
    <w:rPr>
      <w:kern w:val="2"/>
      <w:sz w:val="16"/>
      <w:szCs w:val="16"/>
    </w:rPr>
  </w:style>
  <w:style w:type="paragraph" w:customStyle="1" w:styleId="136">
    <w:name w:val="样式"/>
    <w:basedOn w:val="1"/>
    <w:autoRedefine/>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37">
    <w:name w:val="正文文本缩进 3 Char1"/>
    <w:basedOn w:val="35"/>
    <w:autoRedefine/>
    <w:qFormat/>
    <w:uiPriority w:val="99"/>
    <w:rPr>
      <w:rFonts w:ascii="Calibri" w:hAnsi="Calibri" w:cs="宋体"/>
      <w:kern w:val="2"/>
      <w:sz w:val="27"/>
      <w:szCs w:val="24"/>
    </w:rPr>
  </w:style>
  <w:style w:type="character" w:customStyle="1" w:styleId="138">
    <w:name w:val="正文文本 3 Char1"/>
    <w:basedOn w:val="35"/>
    <w:autoRedefine/>
    <w:qFormat/>
    <w:uiPriority w:val="99"/>
    <w:rPr>
      <w:rFonts w:ascii="Calibri" w:hAnsi="Calibri" w:cs="宋体"/>
      <w:b/>
      <w:bCs/>
      <w:color w:val="FF6600"/>
      <w:kern w:val="2"/>
      <w:sz w:val="24"/>
      <w:szCs w:val="32"/>
      <w:lang w:val="zh-CN"/>
    </w:rPr>
  </w:style>
  <w:style w:type="character" w:customStyle="1" w:styleId="139">
    <w:name w:val="正文文本 2 Char1"/>
    <w:basedOn w:val="35"/>
    <w:autoRedefine/>
    <w:qFormat/>
    <w:uiPriority w:val="99"/>
    <w:rPr>
      <w:rFonts w:ascii="Calibri" w:hAnsi="Calibri" w:cs="宋体"/>
      <w:kern w:val="2"/>
      <w:sz w:val="21"/>
      <w:szCs w:val="24"/>
    </w:rPr>
  </w:style>
  <w:style w:type="character" w:customStyle="1" w:styleId="140">
    <w:name w:val="正文文本缩进 2 Char1"/>
    <w:basedOn w:val="35"/>
    <w:autoRedefine/>
    <w:qFormat/>
    <w:uiPriority w:val="99"/>
    <w:rPr>
      <w:rFonts w:ascii="Calibri" w:hAnsi="Calibri" w:cs="宋体"/>
      <w:kern w:val="2"/>
      <w:sz w:val="27"/>
      <w:szCs w:val="24"/>
    </w:rPr>
  </w:style>
  <w:style w:type="character" w:customStyle="1" w:styleId="141">
    <w:name w:val="正文文本 Char1"/>
    <w:basedOn w:val="35"/>
    <w:autoRedefine/>
    <w:qFormat/>
    <w:uiPriority w:val="99"/>
    <w:rPr>
      <w:rFonts w:ascii="宋体" w:hAnsi="宋体" w:cs="宋体"/>
      <w:kern w:val="2"/>
      <w:sz w:val="28"/>
      <w:szCs w:val="24"/>
    </w:rPr>
  </w:style>
  <w:style w:type="character" w:customStyle="1" w:styleId="142">
    <w:name w:val="正文文本缩进 Char1"/>
    <w:basedOn w:val="35"/>
    <w:qFormat/>
    <w:uiPriority w:val="99"/>
    <w:rPr>
      <w:rFonts w:ascii="Calibri" w:hAnsi="Calibri" w:cs="宋体"/>
      <w:kern w:val="2"/>
      <w:sz w:val="21"/>
      <w:szCs w:val="24"/>
    </w:rPr>
  </w:style>
  <w:style w:type="character" w:customStyle="1" w:styleId="143">
    <w:name w:val="文档结构图 Char1"/>
    <w:basedOn w:val="35"/>
    <w:autoRedefine/>
    <w:qFormat/>
    <w:uiPriority w:val="99"/>
    <w:rPr>
      <w:rFonts w:ascii="Calibri" w:hAnsi="Calibri" w:cs="宋体"/>
      <w:kern w:val="2"/>
      <w:sz w:val="21"/>
      <w:szCs w:val="24"/>
      <w:shd w:val="clear" w:color="auto" w:fill="000080"/>
    </w:rPr>
  </w:style>
  <w:style w:type="character" w:customStyle="1" w:styleId="144">
    <w:name w:val="font71"/>
    <w:basedOn w:val="35"/>
    <w:autoRedefine/>
    <w:qFormat/>
    <w:uiPriority w:val="0"/>
    <w:rPr>
      <w:rFonts w:hint="eastAsia" w:ascii="仿宋" w:hAnsi="仿宋" w:eastAsia="仿宋"/>
      <w:color w:val="000000"/>
      <w:sz w:val="20"/>
      <w:szCs w:val="20"/>
      <w:u w:val="none"/>
    </w:rPr>
  </w:style>
  <w:style w:type="character" w:customStyle="1" w:styleId="145">
    <w:name w:val="HTML 预设格式 Char1"/>
    <w:basedOn w:val="35"/>
    <w:autoRedefine/>
    <w:qFormat/>
    <w:uiPriority w:val="4"/>
    <w:rPr>
      <w:rFonts w:ascii="Arial" w:hAnsi="Arial" w:cs="宋体"/>
      <w:kern w:val="2"/>
      <w:sz w:val="24"/>
      <w:szCs w:val="22"/>
    </w:rPr>
  </w:style>
  <w:style w:type="character" w:customStyle="1" w:styleId="146">
    <w:name w:val="font61"/>
    <w:basedOn w:val="35"/>
    <w:autoRedefine/>
    <w:qFormat/>
    <w:uiPriority w:val="0"/>
    <w:rPr>
      <w:rFonts w:hint="eastAsia" w:ascii="仿宋_GB2312" w:eastAsia="仿宋_GB2312"/>
      <w:color w:val="000000"/>
      <w:sz w:val="18"/>
      <w:szCs w:val="18"/>
      <w:u w:val="none"/>
    </w:rPr>
  </w:style>
  <w:style w:type="character" w:customStyle="1" w:styleId="147">
    <w:name w:val="font21"/>
    <w:basedOn w:val="35"/>
    <w:autoRedefine/>
    <w:qFormat/>
    <w:uiPriority w:val="0"/>
    <w:rPr>
      <w:rFonts w:hint="default" w:ascii="Times New Roman" w:hAnsi="Times New Roman" w:cs="Times New Roman"/>
      <w:color w:val="000000"/>
      <w:sz w:val="20"/>
      <w:szCs w:val="20"/>
      <w:u w:val="none"/>
    </w:rPr>
  </w:style>
  <w:style w:type="character" w:customStyle="1" w:styleId="148">
    <w:name w:val="font91"/>
    <w:basedOn w:val="35"/>
    <w:autoRedefine/>
    <w:qFormat/>
    <w:uiPriority w:val="0"/>
    <w:rPr>
      <w:rFonts w:hint="eastAsia" w:ascii="宋体" w:hAnsi="宋体" w:eastAsia="宋体" w:cs="宋体"/>
      <w:color w:val="000000"/>
      <w:sz w:val="21"/>
      <w:szCs w:val="21"/>
      <w:u w:val="none"/>
    </w:rPr>
  </w:style>
  <w:style w:type="character" w:customStyle="1" w:styleId="149">
    <w:name w:val="font11"/>
    <w:basedOn w:val="35"/>
    <w:autoRedefine/>
    <w:qFormat/>
    <w:uiPriority w:val="0"/>
    <w:rPr>
      <w:rFonts w:hint="eastAsia" w:ascii="仿宋_GB2312" w:eastAsia="仿宋_GB2312"/>
      <w:color w:val="000000"/>
      <w:sz w:val="20"/>
      <w:szCs w:val="20"/>
      <w:u w:val="none"/>
    </w:rPr>
  </w:style>
  <w:style w:type="character" w:customStyle="1" w:styleId="150">
    <w:name w:val="font01"/>
    <w:basedOn w:val="35"/>
    <w:autoRedefine/>
    <w:qFormat/>
    <w:uiPriority w:val="0"/>
    <w:rPr>
      <w:rFonts w:hint="eastAsia" w:ascii="宋体" w:hAnsi="宋体" w:eastAsia="宋体"/>
      <w:color w:val="000000"/>
      <w:sz w:val="20"/>
      <w:szCs w:val="20"/>
      <w:u w:val="none"/>
    </w:rPr>
  </w:style>
  <w:style w:type="paragraph" w:customStyle="1" w:styleId="151">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_Style 9"/>
    <w:basedOn w:val="1"/>
    <w:autoRedefine/>
    <w:qFormat/>
    <w:uiPriority w:val="0"/>
    <w:pPr>
      <w:spacing w:line="360" w:lineRule="auto"/>
      <w:ind w:firstLine="200" w:firstLineChars="200"/>
      <w:jc w:val="left"/>
    </w:pPr>
    <w:rPr>
      <w:rFonts w:eastAsia="仿宋_GB2312"/>
      <w:sz w:val="32"/>
      <w:szCs w:val="32"/>
    </w:rPr>
  </w:style>
  <w:style w:type="paragraph" w:customStyle="1" w:styleId="153">
    <w:name w:val="Default"/>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54">
    <w:name w:val="leaidx"/>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5">
    <w:name w:val="_Style 1"/>
    <w:basedOn w:val="1"/>
    <w:autoRedefine/>
    <w:qFormat/>
    <w:uiPriority w:val="0"/>
    <w:rPr>
      <w:rFonts w:eastAsia="仿宋_GB2312"/>
    </w:rPr>
  </w:style>
  <w:style w:type="paragraph" w:customStyle="1" w:styleId="156">
    <w:name w:val="大标题"/>
    <w:basedOn w:val="1"/>
    <w:next w:val="1"/>
    <w:autoRedefine/>
    <w:qFormat/>
    <w:uiPriority w:val="0"/>
    <w:pPr>
      <w:widowControl/>
      <w:kinsoku w:val="0"/>
      <w:autoSpaceDE w:val="0"/>
      <w:autoSpaceDN w:val="0"/>
      <w:adjustRightInd w:val="0"/>
      <w:snapToGrid w:val="0"/>
      <w:spacing w:line="560" w:lineRule="exact"/>
      <w:jc w:val="center"/>
      <w:textAlignment w:val="baseline"/>
    </w:pPr>
    <w:rPr>
      <w:rFonts w:ascii="Calibri" w:hAnsi="Calibri" w:eastAsia="方正小标宋简体" w:cs="Arial"/>
      <w:snapToGrid w:val="0"/>
      <w:color w:val="000000"/>
      <w:kern w:val="0"/>
      <w:sz w:val="44"/>
      <w:szCs w:val="21"/>
    </w:rPr>
  </w:style>
  <w:style w:type="table" w:customStyle="1" w:styleId="15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9F68F-0692-4AE7-908D-B765C89DF930}">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16</Pages>
  <Words>1212</Words>
  <Characters>6914</Characters>
  <Lines>57</Lines>
  <Paragraphs>16</Paragraphs>
  <TotalTime>81</TotalTime>
  <ScaleCrop>false</ScaleCrop>
  <LinksUpToDate>false</LinksUpToDate>
  <CharactersWithSpaces>8110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2023-08-04T09:15:00Z</dcterms:created>
  <dc:creator>Administrator</dc:creator>
  <cp:lastModifiedBy>kylin</cp:lastModifiedBy>
  <cp:lastPrinted>2024-02-05T09:49:00Z</cp:lastPrinted>
  <dcterms:modified xsi:type="dcterms:W3CDTF">2024-11-19T10:21:15Z</dcterms:modified>
  <dc:title>忻州市人民政府办公厅</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3E85126960F844F5B19FC6B91DA27BBE_13</vt:lpwstr>
  </property>
</Properties>
</file>