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河曲县规划和自然资源局（林业局）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2023年政府信息公开工作年报</w:t>
      </w:r>
    </w:p>
    <w:bookmarkEnd w:id="0"/>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2023年以来，我单位严格按照《中华人民共和国政府信息公开条例</w:t>
      </w:r>
      <w:r>
        <w:rPr>
          <w:rFonts w:hint="eastAsia" w:ascii="仿宋_GB2312" w:hAnsi="仿宋_GB2312" w:eastAsia="仿宋_GB2312" w:cs="仿宋_GB2312"/>
          <w:sz w:val="32"/>
          <w:szCs w:val="32"/>
          <w:lang w:val="en-US" w:eastAsia="zh-CN"/>
        </w:rPr>
        <w:t>》的规定以及上级关于政府信息公开工作的部署和要求，不断完善政府信息公开的运作流程和审核机制，较好的完成了政府信息公开工作，主要表现在加强组织领导、完善工作机制以及落实保密审查制度等方面</w:t>
      </w:r>
      <w:r>
        <w:rPr>
          <w:rFonts w:hint="default" w:ascii="仿宋_GB2312" w:hAnsi="仿宋_GB2312" w:eastAsia="仿宋_GB2312" w:cs="仿宋_GB2312"/>
          <w:sz w:val="32"/>
          <w:szCs w:val="32"/>
          <w:lang w:eastAsia="zh-CN"/>
        </w:rPr>
        <w:t>，取得了良好收效。</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04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numPr>
                <w:ilvl w:val="0"/>
                <w:numId w:val="0"/>
              </w:numPr>
              <w:tabs>
                <w:tab w:val="left" w:pos="2541"/>
              </w:tabs>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信息内容</w:t>
            </w:r>
          </w:p>
        </w:tc>
        <w:tc>
          <w:tcPr>
            <w:tcW w:w="2046"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本年制发件数</w:t>
            </w:r>
          </w:p>
        </w:tc>
        <w:tc>
          <w:tcPr>
            <w:tcW w:w="213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本年废止件数</w:t>
            </w:r>
          </w:p>
        </w:tc>
        <w:tc>
          <w:tcPr>
            <w:tcW w:w="213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规章</w:t>
            </w:r>
          </w:p>
        </w:tc>
        <w:tc>
          <w:tcPr>
            <w:tcW w:w="2046"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行政规范性文件</w:t>
            </w:r>
          </w:p>
        </w:tc>
        <w:tc>
          <w:tcPr>
            <w:tcW w:w="204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信息内容</w:t>
            </w:r>
          </w:p>
        </w:tc>
        <w:tc>
          <w:tcPr>
            <w:tcW w:w="6308"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行政许可</w:t>
            </w:r>
          </w:p>
        </w:tc>
        <w:tc>
          <w:tcPr>
            <w:tcW w:w="6308"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信息内容</w:t>
            </w:r>
          </w:p>
        </w:tc>
        <w:tc>
          <w:tcPr>
            <w:tcW w:w="6308"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行政处罚</w:t>
            </w:r>
          </w:p>
        </w:tc>
        <w:tc>
          <w:tcPr>
            <w:tcW w:w="204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行政强制</w:t>
            </w:r>
          </w:p>
        </w:tc>
        <w:tc>
          <w:tcPr>
            <w:tcW w:w="204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信息内容</w:t>
            </w:r>
          </w:p>
        </w:tc>
        <w:tc>
          <w:tcPr>
            <w:tcW w:w="6308" w:type="dxa"/>
            <w:gridSpan w:val="3"/>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行政事业性收费</w:t>
            </w:r>
          </w:p>
        </w:tc>
        <w:tc>
          <w:tcPr>
            <w:tcW w:w="2046"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tbl>
      <w:tblPr>
        <w:tblStyle w:val="5"/>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96"/>
        <w:gridCol w:w="2565"/>
        <w:gridCol w:w="480"/>
        <w:gridCol w:w="720"/>
        <w:gridCol w:w="675"/>
        <w:gridCol w:w="780"/>
        <w:gridCol w:w="675"/>
        <w:gridCol w:w="6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Merge w:val="restart"/>
            <w:vAlign w:val="center"/>
          </w:tcPr>
          <w:p>
            <w:pPr>
              <w:numPr>
                <w:ilvl w:val="0"/>
                <w:numId w:val="0"/>
              </w:num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18"/>
                <w:szCs w:val="18"/>
                <w:vertAlign w:val="baseline"/>
                <w:lang w:val="en-US" w:eastAsia="zh-CN"/>
              </w:rPr>
              <w:t>（本列数据的勾稽关系为：第一项加第二项之和，等于第三项加第四项之和）</w:t>
            </w:r>
          </w:p>
        </w:tc>
        <w:tc>
          <w:tcPr>
            <w:tcW w:w="4710" w:type="dxa"/>
            <w:gridSpan w:val="7"/>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Merge w:val="continue"/>
            <w:vAlign w:val="center"/>
          </w:tcPr>
          <w:p>
            <w:pPr>
              <w:numPr>
                <w:ilvl w:val="0"/>
                <w:numId w:val="0"/>
              </w:numPr>
              <w:jc w:val="left"/>
              <w:rPr>
                <w:rFonts w:hint="default" w:ascii="仿宋_GB2312" w:hAnsi="仿宋_GB2312" w:eastAsia="仿宋_GB2312" w:cs="仿宋_GB2312"/>
                <w:sz w:val="24"/>
                <w:szCs w:val="24"/>
                <w:vertAlign w:val="baseline"/>
                <w:lang w:val="en-US" w:eastAsia="zh-CN"/>
              </w:rPr>
            </w:pPr>
          </w:p>
        </w:tc>
        <w:tc>
          <w:tcPr>
            <w:tcW w:w="480"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自然人</w:t>
            </w:r>
          </w:p>
        </w:tc>
        <w:tc>
          <w:tcPr>
            <w:tcW w:w="3525" w:type="dxa"/>
            <w:gridSpan w:val="5"/>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法人或其他组织</w:t>
            </w:r>
          </w:p>
        </w:tc>
        <w:tc>
          <w:tcPr>
            <w:tcW w:w="705"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Merge w:val="continue"/>
            <w:vAlign w:val="center"/>
          </w:tcPr>
          <w:p>
            <w:pPr>
              <w:numPr>
                <w:ilvl w:val="0"/>
                <w:numId w:val="0"/>
              </w:numPr>
              <w:jc w:val="left"/>
              <w:rPr>
                <w:rFonts w:hint="default" w:ascii="仿宋_GB2312" w:hAnsi="仿宋_GB2312" w:eastAsia="仿宋_GB2312" w:cs="仿宋_GB2312"/>
                <w:sz w:val="24"/>
                <w:szCs w:val="24"/>
                <w:vertAlign w:val="baseline"/>
                <w:lang w:val="en-US" w:eastAsia="zh-CN"/>
              </w:rPr>
            </w:pPr>
          </w:p>
        </w:tc>
        <w:tc>
          <w:tcPr>
            <w:tcW w:w="480"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720"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商业企业</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科研机构</w:t>
            </w:r>
          </w:p>
        </w:tc>
        <w:tc>
          <w:tcPr>
            <w:tcW w:w="780"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社会公益组织</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法律服务机构</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w:t>
            </w:r>
          </w:p>
        </w:tc>
        <w:tc>
          <w:tcPr>
            <w:tcW w:w="705"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Align w:val="center"/>
          </w:tcPr>
          <w:p>
            <w:pPr>
              <w:numPr>
                <w:ilvl w:val="0"/>
                <w:numId w:val="0"/>
              </w:num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一、本年新收政府信息公开申请数量</w:t>
            </w:r>
          </w:p>
        </w:tc>
        <w:tc>
          <w:tcPr>
            <w:tcW w:w="480"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720"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二、上年结转政府信息公开申请数量</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restart"/>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三、本年度办理结果</w:t>
            </w:r>
          </w:p>
        </w:tc>
        <w:tc>
          <w:tcPr>
            <w:tcW w:w="3461"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（一）予以公开</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3461"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（二）部分公开（区分处理的，只记这一情形，不计其他情形）</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restart"/>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（三）不予公开</w:t>
            </w: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1.属于国家秘密</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2.其他法律行政法规禁止公开</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3.危及“三安全一稳定”</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4.保护第三方合法权益</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5.属于三类内部事务信息</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6.属于四类过程性信息</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7.属于行政执法案卷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8.属于行政查询事项</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restart"/>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（四）无法提供</w:t>
            </w: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1.本机关不掌握相关政府信息</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2.没有现成信息需要另行制作</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3.补正后申请内容仍不明确</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restart"/>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（五）不予处理</w:t>
            </w: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1.信访举报投诉类申请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2.重复申请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3.要求提供公开出版物</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4.无正当理由大量反复申请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5.要求行政机关确认或重复出具已获取信息</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restart"/>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（六）其他处理</w:t>
            </w: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1.申请人无正当理由逾期不补正、行政机关不再处理其政府信息公开申请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2.申请人逾期未按收费通知要求缴纳费用、行政机关不再处理其政府信息公开申请</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896"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2565" w:type="dxa"/>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3.其他</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vMerge w:val="continue"/>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p>
        </w:tc>
        <w:tc>
          <w:tcPr>
            <w:tcW w:w="3461" w:type="dxa"/>
            <w:gridSpan w:val="2"/>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（七）总计</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6" w:type="dxa"/>
            <w:gridSpan w:val="3"/>
            <w:vAlign w:val="center"/>
          </w:tcPr>
          <w:p>
            <w:pPr>
              <w:numPr>
                <w:ilvl w:val="0"/>
                <w:numId w:val="0"/>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四、结转下年度继续办理</w:t>
            </w:r>
          </w:p>
        </w:tc>
        <w:tc>
          <w:tcPr>
            <w:tcW w:w="4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2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80"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67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705"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hAnsi="仿宋_GB2312" w:eastAsia="仿宋_GB2312" w:cs="仿宋_GB2312"/>
          <w:sz w:val="32"/>
          <w:szCs w:val="32"/>
          <w:lang w:val="en-US" w:eastAsia="zh-CN"/>
        </w:rPr>
      </w:pPr>
    </w:p>
    <w:tbl>
      <w:tblPr>
        <w:tblStyle w:val="5"/>
        <w:tblW w:w="951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68"/>
        <w:gridCol w:w="568"/>
        <w:gridCol w:w="568"/>
        <w:gridCol w:w="568"/>
        <w:gridCol w:w="568"/>
        <w:gridCol w:w="568"/>
        <w:gridCol w:w="568"/>
        <w:gridCol w:w="568"/>
        <w:gridCol w:w="568"/>
        <w:gridCol w:w="568"/>
        <w:gridCol w:w="568"/>
        <w:gridCol w:w="568"/>
        <w:gridCol w:w="569"/>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1" w:type="dxa"/>
            <w:gridSpan w:val="5"/>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行政复议</w:t>
            </w:r>
          </w:p>
        </w:tc>
        <w:tc>
          <w:tcPr>
            <w:tcW w:w="6349" w:type="dxa"/>
            <w:gridSpan w:val="10"/>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结果维持</w:t>
            </w:r>
          </w:p>
        </w:tc>
        <w:tc>
          <w:tcPr>
            <w:tcW w:w="568"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结果纠正</w:t>
            </w:r>
          </w:p>
        </w:tc>
        <w:tc>
          <w:tcPr>
            <w:tcW w:w="568"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其他结果</w:t>
            </w:r>
          </w:p>
        </w:tc>
        <w:tc>
          <w:tcPr>
            <w:tcW w:w="568"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尚未审结</w:t>
            </w:r>
          </w:p>
        </w:tc>
        <w:tc>
          <w:tcPr>
            <w:tcW w:w="568" w:type="dxa"/>
            <w:vMerge w:val="restart"/>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总计</w:t>
            </w:r>
          </w:p>
        </w:tc>
        <w:tc>
          <w:tcPr>
            <w:tcW w:w="2840" w:type="dxa"/>
            <w:gridSpan w:val="5"/>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未经复议直接起诉</w:t>
            </w:r>
          </w:p>
        </w:tc>
        <w:tc>
          <w:tcPr>
            <w:tcW w:w="3509" w:type="dxa"/>
            <w:gridSpan w:val="5"/>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68"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68"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68"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68" w:type="dxa"/>
            <w:vMerge w:val="continue"/>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结果维持</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结果纠正</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其他结果</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尚未审结</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总计</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结果维持</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结果纠正</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其他结果</w:t>
            </w:r>
          </w:p>
        </w:tc>
        <w:tc>
          <w:tcPr>
            <w:tcW w:w="569"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尚未审结</w:t>
            </w:r>
          </w:p>
        </w:tc>
        <w:tc>
          <w:tcPr>
            <w:tcW w:w="1236"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89"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8"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569"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c>
          <w:tcPr>
            <w:tcW w:w="1236" w:type="dxa"/>
            <w:vAlign w:val="center"/>
          </w:tcPr>
          <w:p>
            <w:pPr>
              <w:numPr>
                <w:ilvl w:val="0"/>
                <w:numId w:val="0"/>
              </w:numPr>
              <w:ind w:left="0" w:leftChars="0" w:firstLine="0" w:firstLineChars="0"/>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0</w:t>
            </w:r>
          </w:p>
        </w:tc>
      </w:tr>
    </w:tbl>
    <w:p>
      <w:pPr>
        <w:numPr>
          <w:ilvl w:val="0"/>
          <w:numId w:val="0"/>
        </w:numPr>
        <w:ind w:leftChars="0"/>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我局政府信息公开工作通过完善政府信息编制、审核、检查等措施，政府信息公开工作取得了一定成效。目前存在的主要问题是主动公开政府信息内容与公众的需求还存在一定差距等，我局将采取以下措施加以改进：
</w:t>
      </w:r>
      <w:r>
        <w:rPr>
          <w:rFonts w:hint="eastAsia" w:ascii="仿宋" w:hAnsi="仿宋" w:eastAsia="仿宋" w:cs="仿宋"/>
          <w:sz w:val="32"/>
          <w:szCs w:val="32"/>
        </w:rPr>
        <w:br w:type="textWrapping"/>
      </w:r>
      <w:r>
        <w:rPr>
          <w:rFonts w:hint="eastAsia" w:ascii="仿宋" w:hAnsi="仿宋" w:eastAsia="仿宋" w:cs="仿宋"/>
          <w:sz w:val="32"/>
          <w:szCs w:val="32"/>
        </w:rPr>
        <w:t xml:space="preserve">
一是整合资源，加强信息的收集、整理，提高公开信息的价值，扩大信息公开范围，以多种形式公开政府信息，从广播、电视、报纸、社会宣传等多种形式对外公开。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二是进一步加强政府信息公开宣传力度，提高公众对</w:t>
      </w:r>
      <w:r>
        <w:rPr>
          <w:rFonts w:hint="eastAsia" w:ascii="仿宋" w:hAnsi="仿宋" w:eastAsia="仿宋" w:cs="仿宋"/>
          <w:sz w:val="32"/>
          <w:szCs w:val="32"/>
          <w:lang w:val="en-US" w:eastAsia="zh-CN"/>
        </w:rPr>
        <w:t>规划和自然资源局</w:t>
      </w:r>
      <w:r>
        <w:rPr>
          <w:rFonts w:hint="eastAsia" w:ascii="仿宋" w:hAnsi="仿宋" w:eastAsia="仿宋" w:cs="仿宋"/>
          <w:sz w:val="32"/>
          <w:szCs w:val="32"/>
        </w:rPr>
        <w:t>政府信息公开的知晓率和参与度。
</w:t>
      </w:r>
      <w:r>
        <w:rPr>
          <w:rFonts w:hint="eastAsia" w:ascii="仿宋" w:hAnsi="仿宋" w:eastAsia="仿宋" w:cs="仿宋"/>
          <w:sz w:val="32"/>
          <w:szCs w:val="32"/>
        </w:rPr>
        <w:br w:type="textWrapping"/>
      </w:r>
      <w:r>
        <w:rPr>
          <w:rFonts w:hint="eastAsia" w:ascii="仿宋" w:hAnsi="仿宋" w:eastAsia="仿宋" w:cs="仿宋"/>
          <w:sz w:val="32"/>
          <w:szCs w:val="32"/>
        </w:rPr>
        <w:t>
三是加强政府信息公开业务学习，确保政府信息公开准确、及时、规范，不断提升政府信息公开整体工作水平。
</w:t>
      </w:r>
      <w:r>
        <w:rPr>
          <w:rFonts w:hint="eastAsia" w:ascii="仿宋" w:hAnsi="仿宋" w:eastAsia="仿宋" w:cs="仿宋"/>
          <w:sz w:val="32"/>
          <w:szCs w:val="32"/>
        </w:rPr>
        <w:br w:type="textWrapping"/>
      </w:r>
      <w:r>
        <w:rPr>
          <w:rFonts w:hint="eastAsia" w:ascii="仿宋" w:hAnsi="仿宋" w:eastAsia="仿宋" w:cs="仿宋"/>
          <w:sz w:val="32"/>
          <w:szCs w:val="32"/>
        </w:rPr>
        <w:t>
四是加大人力配合，确保政府信息公开各项工作的顺利开展。
五是健全工作机制，形成工作有部署、实施有检查、年终有考核、违规违纪有责任追究的工作机制，确保广大群众</w:t>
      </w:r>
      <w:r>
        <w:rPr>
          <w:rFonts w:hint="eastAsia" w:ascii="仿宋" w:hAnsi="仿宋" w:eastAsia="仿宋" w:cs="仿宋"/>
          <w:sz w:val="32"/>
          <w:szCs w:val="32"/>
          <w:lang w:val="en-US" w:eastAsia="zh-CN"/>
        </w:rPr>
        <w:t>对自然资源</w:t>
      </w:r>
      <w:r>
        <w:rPr>
          <w:rFonts w:hint="eastAsia" w:ascii="仿宋" w:hAnsi="仿宋" w:eastAsia="仿宋" w:cs="仿宋"/>
          <w:sz w:val="32"/>
          <w:szCs w:val="32"/>
        </w:rPr>
        <w:t>工作的知情权、参与权和监督权。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numPr>
          <w:ilvl w:val="0"/>
          <w:numId w:val="0"/>
        </w:numPr>
        <w:ind w:leftChars="0" w:firstLine="640" w:firstLineChars="200"/>
        <w:rPr>
          <w:rFonts w:hint="eastAsia" w:ascii="仿宋_GB2312" w:hAnsi="仿宋_GB2312" w:eastAsia="仿宋_GB2312" w:cs="仿宋_GB2312"/>
          <w:sz w:val="32"/>
          <w:szCs w:val="32"/>
          <w:lang w:val="en-US" w:eastAsia="zh-CN"/>
        </w:rPr>
      </w:pPr>
    </w:p>
    <w:p>
      <w:pPr>
        <w:numPr>
          <w:ilvl w:val="0"/>
          <w:numId w:val="0"/>
        </w:numPr>
        <w:ind w:leftChars="0"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河曲县规划和自然资源局（林业局）</w:t>
      </w:r>
    </w:p>
    <w:p>
      <w:pPr>
        <w:numPr>
          <w:ilvl w:val="0"/>
          <w:numId w:val="0"/>
        </w:numPr>
        <w:ind w:leftChars="0"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2023年12月20日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FC95E9-FBA8-4D61-9CC5-7317B3307C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E11D4EBC-D159-4029-A5CB-0FC43B3527AC}"/>
  </w:font>
  <w:font w:name="仿宋_GB2312">
    <w:altName w:val="仿宋"/>
    <w:panose1 w:val="02010609030101010101"/>
    <w:charset w:val="86"/>
    <w:family w:val="auto"/>
    <w:pitch w:val="default"/>
    <w:sig w:usb0="00000000" w:usb1="00000000" w:usb2="00000000" w:usb3="00000000" w:csb0="00040000" w:csb1="00000000"/>
    <w:embedRegular r:id="rId3" w:fontKey="{0ED3D199-F54C-4D98-935B-BEB3CE83A47F}"/>
  </w:font>
  <w:font w:name="仿宋">
    <w:panose1 w:val="02010609060101010101"/>
    <w:charset w:val="86"/>
    <w:family w:val="auto"/>
    <w:pitch w:val="default"/>
    <w:sig w:usb0="800002BF" w:usb1="38CF7CFA" w:usb2="00000016" w:usb3="00000000" w:csb0="00040001" w:csb1="00000000"/>
    <w:embedRegular r:id="rId4" w:fontKey="{34C1C90F-33DA-4959-AA36-334D224D03F1}"/>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E2A48"/>
    <w:multiLevelType w:val="singleLevel"/>
    <w:tmpl w:val="FCCE2A48"/>
    <w:lvl w:ilvl="0" w:tentative="0">
      <w:start w:val="2"/>
      <w:numFmt w:val="chineseCounting"/>
      <w:suff w:val="nothing"/>
      <w:lvlText w:val="%1、"/>
      <w:lvlJc w:val="left"/>
      <w:rPr>
        <w:rFonts w:hint="eastAsia"/>
      </w:rPr>
    </w:lvl>
  </w:abstractNum>
  <w:abstractNum w:abstractNumId="1">
    <w:nsid w:val="750C4F2D"/>
    <w:multiLevelType w:val="singleLevel"/>
    <w:tmpl w:val="750C4F2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YTk0Yjk5MzU2MDE4MDhkMDVlODgzMmUzNzZkZjcifQ=="/>
  </w:docVars>
  <w:rsids>
    <w:rsidRoot w:val="00000000"/>
    <w:rsid w:val="0B85745E"/>
    <w:rsid w:val="0E7F0FD9"/>
    <w:rsid w:val="117404C4"/>
    <w:rsid w:val="12D6271E"/>
    <w:rsid w:val="13B61A3F"/>
    <w:rsid w:val="16286684"/>
    <w:rsid w:val="16F07A16"/>
    <w:rsid w:val="181E0FA8"/>
    <w:rsid w:val="1A461C89"/>
    <w:rsid w:val="1E0565AE"/>
    <w:rsid w:val="1E3D18A3"/>
    <w:rsid w:val="1EB36862"/>
    <w:rsid w:val="228F6446"/>
    <w:rsid w:val="25275AEB"/>
    <w:rsid w:val="27C9064C"/>
    <w:rsid w:val="2D894DC7"/>
    <w:rsid w:val="2E8A6E28"/>
    <w:rsid w:val="31781EB8"/>
    <w:rsid w:val="34473776"/>
    <w:rsid w:val="36E763F9"/>
    <w:rsid w:val="399747E3"/>
    <w:rsid w:val="3A0D75B5"/>
    <w:rsid w:val="3ACE7FFB"/>
    <w:rsid w:val="3B7A263F"/>
    <w:rsid w:val="3B840969"/>
    <w:rsid w:val="3E1F0B6E"/>
    <w:rsid w:val="3F8E2972"/>
    <w:rsid w:val="414F6F99"/>
    <w:rsid w:val="445A6A56"/>
    <w:rsid w:val="4656583A"/>
    <w:rsid w:val="4771597E"/>
    <w:rsid w:val="47EB680E"/>
    <w:rsid w:val="518E73DD"/>
    <w:rsid w:val="53C05475"/>
    <w:rsid w:val="54BA436C"/>
    <w:rsid w:val="560B294C"/>
    <w:rsid w:val="59562C91"/>
    <w:rsid w:val="59673107"/>
    <w:rsid w:val="59EE3991"/>
    <w:rsid w:val="5A7065C7"/>
    <w:rsid w:val="5D746681"/>
    <w:rsid w:val="5FCE1AFC"/>
    <w:rsid w:val="61DB69D7"/>
    <w:rsid w:val="63890482"/>
    <w:rsid w:val="643248A8"/>
    <w:rsid w:val="670B29FC"/>
    <w:rsid w:val="6E7815E4"/>
    <w:rsid w:val="6E963077"/>
    <w:rsid w:val="6F6D0E8A"/>
    <w:rsid w:val="70955D21"/>
    <w:rsid w:val="7239137D"/>
    <w:rsid w:val="78674E18"/>
    <w:rsid w:val="792931BC"/>
    <w:rsid w:val="7A567B81"/>
    <w:rsid w:val="7B4C4049"/>
    <w:rsid w:val="7F0E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1871</Words>
  <Characters>1902</Characters>
  <Lines>0</Lines>
  <Paragraphs>0</Paragraphs>
  <TotalTime>0</TotalTime>
  <ScaleCrop>false</ScaleCrop>
  <LinksUpToDate>false</LinksUpToDate>
  <CharactersWithSpaces>1902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2022-01-23T12:17:00Z</dcterms:created>
  <dc:creator>zhouyu</dc:creator>
  <cp:lastModifiedBy>Audery</cp:lastModifiedBy>
  <cp:lastPrinted>2023-12-26T08:27:00Z</cp:lastPrinted>
  <dcterms:modified xsi:type="dcterms:W3CDTF">2024-05-05T11:31:31Z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67E64B8BEF7843B584112DD938321B87_13</vt:lpwstr>
  </property>
</Properties>
</file>